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pBdr>
                <w:bottom w:color="000000" w:space="1" w:sz="4" w:val="single"/>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Accelerating progress towards ending early, child and forced marriage and advancing equal rights and opportunities for adolescents, especially those left farthest </w:t>
            </w:r>
            <w:r w:rsidDel="00000000" w:rsidR="00000000" w:rsidRPr="00000000">
              <w:rPr>
                <w:rFonts w:ascii="Times New Roman" w:cs="Times New Roman" w:eastAsia="Times New Roman" w:hAnsi="Times New Roman"/>
                <w:b w:val="1"/>
                <w:sz w:val="24"/>
                <w:szCs w:val="24"/>
                <w:rtl w:val="0"/>
              </w:rPr>
              <w:t xml:space="preserve">behind </w:t>
            </w:r>
          </w:p>
          <w:p w:rsidR="00000000" w:rsidDel="00000000" w:rsidP="00000000" w:rsidRDefault="00000000" w:rsidRPr="00000000" w14:paraId="00000004">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of UNFPA India Country Office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bids.india@unfpa.org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w:t>
            </w:r>
            <w:r w:rsidDel="00000000" w:rsidR="00000000" w:rsidRPr="00000000">
              <w:rPr>
                <w:rFonts w:ascii="Times New Roman" w:cs="Times New Roman" w:eastAsia="Times New Roman" w:hAnsi="Times New Roman"/>
                <w:sz w:val="24"/>
                <w:szCs w:val="24"/>
                <w:rtl w:val="0"/>
              </w:rPr>
              <w:t xml:space="preserve">th October 2022</w:t>
            </w:r>
            <w:r w:rsidDel="00000000" w:rsidR="00000000" w:rsidRPr="00000000">
              <w:rPr>
                <w:rFonts w:ascii="Times New Roman" w:cs="Times New Roman" w:eastAsia="Times New Roman" w:hAnsi="Times New Roman"/>
                <w:sz w:val="24"/>
                <w:szCs w:val="24"/>
                <w:rtl w:val="0"/>
              </w:rPr>
              <w:t xml:space="preserve">, 23:59 hours IST at the latest addressed to Operations Manager, UNFPA India at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the deadline for submission of proposals.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10">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Country Office, UNFPA works with the government and other partners to achieve overall goal of the overall goal of the 2023-2027 DP/FPA/CPD/IND/10.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Terms of Reference </w:t>
            </w:r>
          </w:p>
        </w:tc>
        <w:tc>
          <w:tcPr>
            <w:tcBorders>
              <w:left w:color="bdd7ee" w:space="0" w:sz="6" w:val="single"/>
            </w:tcBorders>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Rationale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76"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sz w:val="24"/>
                <w:szCs w:val="24"/>
                <w:rtl w:val="0"/>
              </w:rPr>
              <w:t xml:space="preserve">The practice of early, child and forced marriage (ECFM) is a violation of fundamental human rights. It perpetuates </w:t>
            </w:r>
            <w:r w:rsidDel="00000000" w:rsidR="00000000" w:rsidRPr="00000000">
              <w:rPr>
                <w:rFonts w:ascii="Times New Roman" w:cs="Times New Roman" w:eastAsia="Times New Roman" w:hAnsi="Times New Roman"/>
                <w:color w:val="0e101a"/>
                <w:sz w:val="24"/>
                <w:szCs w:val="24"/>
                <w:rtl w:val="0"/>
              </w:rPr>
              <w:t xml:space="preserve">gender inequality, discrimination and can lead to a vicious cycle of intergenerational poverty, further exacerbating risks and vulnerabilities of young girls to violence; hindering young people’s access to education, healthcare, and decent work opportunities; and adversely impacting their agency and autonomy.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before="24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India has made significant progress in reducing the prevalence of child marriage over the last 15 years, it continues to be home to the largest number of child brides in the world. Per data from the latest National Family Health Survey (2019-21), 23.3% of women aged 20-24 years still get married before the age of 18 in India – that is roughly 1 in every 4 girls. The need is stronger than ever to increase investments in addressing the root causes and structural drivers of ECFM, i.e. discriminatory gender norms; and creating pathways for enhancing the inherent value of women and girls.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UNFPA, in partnership with UNICEF, has been implementing the Global Programme to End Child Marriage (GPECM) since 2016. Recognizing that ECFM is both a symptom and a result of deep-seated gender inequalities and restrictive gender norms, GPECM programming focuses on adopting gender transformative approaches to tackle harmful gender roles, norms and power relations. These approaches foster critical examination of inequalities and gender roles, norms and dynamics; underscore the need to strengthen positive norms that support the creation of an enabling environment, and focus on enhancing the value of women, girls and marginalized groups by transforming underlying social structures, policies and broadly held social norms that perpetuate and legitimize gender inequalities.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tenth country programme cycle in India (2023 – 2027) also echoes this focus and seeks to strengthen national and sub national policies, systems, and institutional capacities to address discriminatory norms and harmful practices and promote gender responsive and rights-based laws, policies and programmes that enhance equality and women’s empowerment. This will be achieved through strengthening capacities of diverse stakeholders to promote gender equitable norms and practices, building strong partnerships with women and women-led movements (particularly those representing vulnerable and marginalized groups) for advancing human rights, and generating research and evidence to inform advocacy for the enactment of rights-based, gender transformative laws, policies and programmes. </w:t>
            </w:r>
          </w:p>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partnership, UNFPA seeks to work with an organization to strengthen internal (UNFPA) and external (implementing partners, civil society) capacities to implement programmes informed by gender transformative, human rights based approaches and undertake research to unpack discriminatory gender norms and structures that fuel harmful practices against women and girls, such as ECFM.</w:t>
            </w:r>
          </w:p>
          <w:p w:rsidR="00000000" w:rsidDel="00000000" w:rsidP="00000000" w:rsidRDefault="00000000" w:rsidRPr="00000000" w14:paraId="0000002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work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Strengthening capacities to unpack and implement gender transformative and human rights based approaches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Capacity building of UNFPA personnel to use gender transformative approaches for work on ending ECFM to implement interventions aimed at (i) advancing adolescent girls’ skills, agency and empowerment; (ii) promoting positive masculinities through actively engaging men and boys; (iii) creating an enabling environment through mobilizing families and communities; (iv) strengthening systems and services; and (v) facilitating policy and structural change through stronger institutional partnerships with government, civil society and private sector</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Periodic orientation and capacity building of civil society organizations and other actors on:</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pacing w:after="160" w:line="276"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ensuring the use of rights based approaches that are aligned to the vulnerabilities and specific needs of the most marginalized groups while expanding access to education, healthcare, livelihood and participation opportunities;</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160" w:line="276"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promoting positive masculinities through engagement of men and boys as key stakeholders to challenge and address discriminatory gender norms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21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Foregrounding the use of Gender Transformative Approaches to inform UNFPA’s programming  </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Identification of opportunities and pathways to strengthen UNFPA’s programming from a gender transformative lens with a particular focus on programming related to:</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60" w:line="276"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Improving access to sexual and reproductive health services and advancing reproductive rights</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60" w:line="276"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Addressing GBV and harmful practices</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60" w:line="276" w:lineRule="auto"/>
              <w:ind w:left="216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Expanding rights and choices for adolescents and young people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resources and materials to aid and advance gender transformative and rights-based programming, including on unpacking regressive social norms and structures that drive gender discrimination and fuel perpetuation of harmful practices against women and girls; and understanding intersectionality of gender with other identities that exacerbate vulnerabilities for marginalized groups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left="144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Research and evidence generation to unpack discriminatory gender norms and social structures </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20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Undertaking research aimed at unpacking social roles, norms, behaviours and structures that drive harmful practices such as ECFM </w:t>
            </w:r>
          </w:p>
          <w:p w:rsidR="00000000" w:rsidDel="00000000" w:rsidP="00000000" w:rsidRDefault="00000000" w:rsidRPr="00000000" w14:paraId="0000003E">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Deliverables: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Strengthening capacities to unpack and implement gender transformative and human rights based approaches </w:t>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Development of materials and tools on gender transformative and human rights based approaches – aligned to the needs and requirements of internal (UNFPA) and external (civil society) stakeholders </w:t>
            </w:r>
            <w:r w:rsidDel="00000000" w:rsidR="00000000" w:rsidRPr="00000000">
              <w:rPr>
                <w:rtl w:val="0"/>
              </w:rPr>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Planning and execution of capacity building sessions (content, session flow, identification of resource persons, gauging knowledge change etc.)</w:t>
            </w:r>
            <w:r w:rsidDel="00000000" w:rsidR="00000000" w:rsidRPr="00000000">
              <w:rPr>
                <w:rtl w:val="0"/>
              </w:rPr>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Documentation around said capacity building exercises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1440" w:firstLine="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Foregrounding the use of Gender Transformative Approaches to inform UNFPA’s programming </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Review of UNFPA’s programming through interventions aimed at improving access to sexual and reproductive health services and advancing reproductive rights; addressing GBV and harmful practices; and expanding rights and choices for adolescents and young people from a gender transformative lens </w:t>
            </w:r>
            <w:r w:rsidDel="00000000" w:rsidR="00000000" w:rsidRPr="00000000">
              <w:rPr>
                <w:rtl w:val="0"/>
              </w:rPr>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Report capturing key findings from said review and outlining pathways for stronger gender mainstreaming and integration of gender transformative approaches in said programming </w:t>
            </w:r>
            <w:r w:rsidDel="00000000" w:rsidR="00000000" w:rsidRPr="00000000">
              <w:rPr>
                <w:rtl w:val="0"/>
              </w:rPr>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160" w:line="276" w:lineRule="auto"/>
              <w:ind w:left="144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Development of contextualized tools and resources to strengthen UNFPA’s gender transformative programming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ind w:left="1440" w:firstLine="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160" w:line="276" w:lineRule="auto"/>
              <w:ind w:left="720" w:hanging="36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Research and evidence generation to unpack discriminatory gender norms and social structures </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pacing w:after="200" w:line="276"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Development of 2-3 research products aligned with UNFPA’s strategic priorities for accelerating work towards ending ECFM</w:t>
            </w:r>
          </w:p>
          <w:p w:rsidR="00000000" w:rsidDel="00000000" w:rsidP="00000000" w:rsidRDefault="00000000" w:rsidRPr="00000000" w14:paraId="0000004B">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Indicators [Indicative]:</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16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Increased capacities on applying GTA in programming registered internally and by CSOs</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160" w:line="276" w:lineRule="auto"/>
              <w:ind w:left="720" w:hanging="360"/>
              <w:rPr>
                <w:rFonts w:ascii="Times New Roman" w:cs="Times New Roman" w:eastAsia="Times New Roman" w:hAnsi="Times New Roman"/>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Number of UNFPA staff and CSO representatives trained on GTA during project duration</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16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of UNFPA’s key programme initiative undertaken and way forward outlined for GTA integration</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spacing w:after="16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Tools and resources developed for strengthening GTA perspective specific to each programming area</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spacing w:after="20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Research on gender norms and unequal structures that underpin harmful practices undertaken</w:t>
            </w:r>
          </w:p>
          <w:p w:rsidR="00000000" w:rsidDel="00000000" w:rsidP="00000000" w:rsidRDefault="00000000" w:rsidRPr="00000000" w14:paraId="00000051">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Geographic Coverage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have a pan India coverage, with some aspects having a stronger focus on UNFPA priority states (Rajasthan, Bihar, Madhya Pradesh, Odisha)</w:t>
            </w:r>
          </w:p>
          <w:p w:rsidR="00000000" w:rsidDel="00000000" w:rsidP="00000000" w:rsidRDefault="00000000" w:rsidRPr="00000000" w14:paraId="00000055">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Duration: </w:t>
            </w:r>
            <w:r w:rsidDel="00000000" w:rsidR="00000000" w:rsidRPr="00000000">
              <w:rPr>
                <w:rFonts w:ascii="Times New Roman" w:cs="Times New Roman" w:eastAsia="Times New Roman" w:hAnsi="Times New Roman"/>
                <w:sz w:val="24"/>
                <w:szCs w:val="24"/>
                <w:rtl w:val="0"/>
              </w:rPr>
              <w:t xml:space="preserve"> The proposal is sought for a period of two years (Jan 2023-December 2024). Year wise budget to be submitted for the two years. UNFPA will provide financial support on an annual basis depending on the availability of funds and progress of the project.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5B">
      <w:pPr>
        <w:rPr>
          <w:rFonts w:ascii="Times New Roman" w:cs="Times New Roman" w:eastAsia="Times New Roman" w:hAnsi="Times New Roman"/>
          <w:b w:val="1"/>
          <w:color w:val="0099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5D">
      <w:pPr>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5E">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1">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9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6">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9">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E">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3">
            <w:pPr>
              <w:keepNext w:val="1"/>
              <w:rPr/>
            </w:pPr>
            <w:r w:rsidDel="00000000" w:rsidR="00000000" w:rsidRPr="00000000">
              <w:rPr>
                <w:rtl w:val="0"/>
              </w:rPr>
              <w:t xml:space="preserve">C.4 Geographic coverage </w:t>
            </w:r>
          </w:p>
          <w:p w:rsidR="00000000" w:rsidDel="00000000" w:rsidP="00000000" w:rsidRDefault="00000000" w:rsidRPr="00000000" w14:paraId="000000B4">
            <w:pPr>
              <w:keepNext w:val="1"/>
              <w:rPr/>
            </w:pPr>
            <w:r w:rsidDel="00000000" w:rsidR="00000000" w:rsidRPr="00000000">
              <w:rPr>
                <w:rtl w:val="0"/>
              </w:rPr>
              <w:t xml:space="preserve">(150 words)</w:t>
            </w:r>
          </w:p>
          <w:p w:rsidR="00000000" w:rsidDel="00000000" w:rsidP="00000000" w:rsidRDefault="00000000" w:rsidRPr="00000000" w14:paraId="000000B5">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B7">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B8">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C6">
            <w:pPr>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w:t>
            </w:r>
            <w:commentRangeEnd w:id="0"/>
            <w:r w:rsidDel="00000000" w:rsidR="00000000" w:rsidRPr="00000000">
              <w:commentReference w:id="0"/>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E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organization’s PSEA capacity been assessed by a UN entity in the last 5 years?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yes, share the assessment rating and supporting documentation with UNFPA and do not complete this section.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Code of Conduct (internal or interagency)</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policy</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Documentation of standard procedures for all personnel to receive/sign PSEA policy</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2">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3">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Reference check template including check for sexual misconduct (including reference from previous employers and self-declaration)</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Recruitment procedures</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1">
            <w:pPr>
              <w:widowControl w:val="0"/>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2">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2">
            <w:pPr>
              <w:widowControl w:val="0"/>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3">
            <w:pPr>
              <w:widowControl w:val="0"/>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package</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Attendance sheets</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certificates</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Complaints and Feedback Mechanism</w:t>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Participation in joint reporting mechanisms</w:t>
            </w:r>
          </w:p>
          <w:p w:rsidR="00000000" w:rsidDel="00000000" w:rsidP="00000000" w:rsidRDefault="00000000" w:rsidRPr="00000000" w14:paraId="000001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Communication materials</w:t>
            </w:r>
          </w:p>
          <w:p w:rsidR="00000000" w:rsidDel="00000000" w:rsidP="00000000" w:rsidRDefault="00000000" w:rsidRPr="00000000" w14:paraId="000001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awareness-raising plan</w:t>
            </w:r>
          </w:p>
          <w:p w:rsidR="00000000" w:rsidDel="00000000" w:rsidP="00000000" w:rsidRDefault="00000000" w:rsidRPr="00000000" w14:paraId="000001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reporting mechanism</w:t>
            </w:r>
          </w:p>
          <w:p w:rsidR="00000000" w:rsidDel="00000000" w:rsidP="00000000" w:rsidRDefault="00000000" w:rsidRPr="00000000" w14:paraId="000001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Whistle-blower policy</w:t>
            </w:r>
          </w:p>
          <w:p w:rsidR="00000000" w:rsidDel="00000000" w:rsidP="00000000" w:rsidRDefault="00000000" w:rsidRPr="00000000" w14:paraId="000001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B">
            <w:pPr>
              <w:rPr>
                <w:rFonts w:ascii="Times New Roman" w:cs="Times New Roman" w:eastAsia="Times New Roman" w:hAnsi="Times New Roman"/>
                <w:sz w:val="22"/>
                <w:szCs w:val="22"/>
              </w:rPr>
            </w:pPr>
            <w:bookmarkStart w:colFirst="0" w:colLast="0" w:name="_heading=h.2et92p0" w:id="5"/>
            <w:bookmarkEnd w:id="5"/>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or Interagency referral pathway</w:t>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List of Available service providers</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referral or Standard Operation Procedure (SOP)</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Referral form for survivors of GBV/SEA</w:t>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Guidelines on victim assistance and/or training on GBV and GBV case management principles</w:t>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C">
            <w:pPr>
              <w:numPr>
                <w:ilvl w:val="0"/>
                <w:numId w:val="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3D">
            <w:pPr>
              <w:numPr>
                <w:ilvl w:val="0"/>
                <w:numId w:val="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3E">
            <w:pPr>
              <w:numPr>
                <w:ilvl w:val="0"/>
                <w:numId w:val="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3F">
            <w:pPr>
              <w:numPr>
                <w:ilvl w:val="0"/>
                <w:numId w:val="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0">
            <w:pPr>
              <w:numPr>
                <w:ilvl w:val="0"/>
                <w:numId w:val="9"/>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8">
            <w:pPr>
              <w:numPr>
                <w:ilvl w:val="0"/>
                <w:numId w:val="10"/>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49">
            <w:pPr>
              <w:numPr>
                <w:ilvl w:val="0"/>
                <w:numId w:val="10"/>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4A">
            <w:pPr>
              <w:numPr>
                <w:ilvl w:val="0"/>
                <w:numId w:val="10"/>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72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sheel Kumar" w:id="0" w:date="2022-09-28T19:14:38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the budget template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partnerportal.org" TargetMode="External"/><Relationship Id="rId10"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eader" Target="header1.xml"/><Relationship Id="rId12" Type="http://schemas.openxmlformats.org/officeDocument/2006/relationships/hyperlink" Target="https://undocs.org/ST/SGB/2003/1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18"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LedQvTH6E4CC/ivHvWoE34clw==">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