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pStyle w:val="Title"/>
        <w:tabs>
          <w:tab w:val="left" w:pos="426"/>
          <w:tab w:val="left" w:pos="1134"/>
        </w:tabs>
        <w:spacing w:before="0" w:lineRule="auto"/>
        <w:ind w:left="1134" w:hanging="11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(to be issued by UNFPA)</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for </w:t>
            </w:r>
            <w:r w:rsidDel="00000000" w:rsidR="00000000" w:rsidRPr="00000000">
              <w:rPr>
                <w:rFonts w:ascii="Times New Roman" w:cs="Times New Roman" w:eastAsia="Times New Roman" w:hAnsi="Times New Roman"/>
                <w:b w:val="1"/>
                <w:sz w:val="24"/>
                <w:szCs w:val="24"/>
                <w:rtl w:val="0"/>
              </w:rPr>
              <w:t xml:space="preserve">Towards universal access to Sexual Reproductive Health and Rights (SRHR) and reaching the unreached though an integrated approach in the state of Rajasthan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Bdr>
                <w:bottom w:color="000000" w:space="1" w:sz="4" w:val="single"/>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of UNFPA India Country Office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bids.india@unfpa.org</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07th November 2022, 23:59 hours IST.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14th October 2022, 23:59 hours IST  at the latest addressed to Operations Manager,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before the deadline for submission of proposals.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8">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 (250 Words)</w:t>
            </w:r>
          </w:p>
        </w:tc>
        <w:tc>
          <w:tcPr>
            <w:tcBorders>
              <w:left w:color="bdd7ee" w:space="0" w:sz="6" w:val="single"/>
            </w:tcBorders>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India Country office</w:t>
            </w:r>
            <w:r w:rsidDel="00000000" w:rsidR="00000000" w:rsidRPr="00000000">
              <w:rPr>
                <w:rFonts w:ascii="Times New Roman" w:cs="Times New Roman" w:eastAsia="Times New Roman" w:hAnsi="Times New Roman"/>
                <w:sz w:val="22"/>
                <w:szCs w:val="22"/>
                <w:rtl w:val="0"/>
              </w:rPr>
              <w:t xml:space="preserve">( 250 Words)</w:t>
            </w:r>
          </w:p>
        </w:tc>
        <w:tc>
          <w:tcPr>
            <w:tcBorders>
              <w:left w:color="bdd7ee" w:space="0" w:sz="6" w:val="single"/>
            </w:tcBorders>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Country Office, UNFPA works with the government and other partners to achieve overall goal of the overall goal of the 2023-2027 DP/FPA/CPD/IND/10.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Terms of Reference</w:t>
            </w:r>
          </w:p>
        </w:tc>
        <w:tc>
          <w:tcPr>
            <w:tcBorders>
              <w:left w:color="bdd7ee" w:space="0" w:sz="6" w:val="single"/>
            </w:tcBorders>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Background and Rationale: </w:t>
            </w:r>
            <w:r w:rsidDel="00000000" w:rsidR="00000000" w:rsidRPr="00000000">
              <w:rPr>
                <w:rtl w:val="0"/>
              </w:rPr>
            </w:r>
          </w:p>
          <w:p w:rsidR="00000000" w:rsidDel="00000000" w:rsidP="00000000" w:rsidRDefault="00000000" w:rsidRPr="00000000" w14:paraId="00000025">
            <w:pPr>
              <w:spacing w:after="120" w:before="12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rsidR="00000000" w:rsidDel="00000000" w:rsidP="00000000" w:rsidRDefault="00000000" w:rsidRPr="00000000" w14:paraId="00000026">
            <w:pPr>
              <w:spacing w:after="120" w:before="12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  While continuing to retain focus in the states of Bihar, Madhya Pradesh, Odisha and Rajasthan, the 10th country programme will scale up efforts and drive accelerated progress towards the three transformative results.</w:t>
            </w:r>
          </w:p>
          <w:p w:rsidR="00000000" w:rsidDel="00000000" w:rsidP="00000000" w:rsidRDefault="00000000" w:rsidRPr="00000000" w14:paraId="00000027">
            <w:pPr>
              <w:spacing w:after="120" w:before="12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Rajasthan, UNFPA works in close collaboration with key government departments such as Health, Women Empowerment, Youth, Education and Panchayati Raj. UNFPA is the lead development partner for RMNCH+A and Aspirational Districts in the state. It will continue to support government’s flagship programmes like the RMNCH+A, </w:t>
            </w:r>
            <w:r w:rsidDel="00000000" w:rsidR="00000000" w:rsidRPr="00000000">
              <w:rPr>
                <w:rFonts w:ascii="Times New Roman" w:cs="Times New Roman" w:eastAsia="Times New Roman" w:hAnsi="Times New Roman"/>
                <w:i w:val="1"/>
                <w:color w:val="000000"/>
                <w:sz w:val="24"/>
                <w:szCs w:val="24"/>
                <w:rtl w:val="0"/>
              </w:rPr>
              <w:t xml:space="preserve">Mission Parivar Vikas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Rasthriya Kishore Swasthya Karyakram</w:t>
            </w:r>
            <w:r w:rsidDel="00000000" w:rsidR="00000000" w:rsidRPr="00000000">
              <w:rPr>
                <w:rFonts w:ascii="Times New Roman" w:cs="Times New Roman" w:eastAsia="Times New Roman" w:hAnsi="Times New Roman"/>
                <w:color w:val="000000"/>
                <w:sz w:val="24"/>
                <w:szCs w:val="24"/>
                <w:rtl w:val="0"/>
              </w:rPr>
              <w:t xml:space="preserve"> (RKSK), School Health and Wellness Programme (SHWP), Child Marriage, </w:t>
            </w:r>
            <w:r w:rsidDel="00000000" w:rsidR="00000000" w:rsidRPr="00000000">
              <w:rPr>
                <w:rFonts w:ascii="Times New Roman" w:cs="Times New Roman" w:eastAsia="Times New Roman" w:hAnsi="Times New Roman"/>
                <w:i w:val="1"/>
                <w:color w:val="000000"/>
                <w:sz w:val="24"/>
                <w:szCs w:val="24"/>
                <w:rtl w:val="0"/>
              </w:rPr>
              <w:t xml:space="preserve">Udaan-</w:t>
            </w:r>
            <w:r w:rsidDel="00000000" w:rsidR="00000000" w:rsidRPr="00000000">
              <w:rPr>
                <w:rFonts w:ascii="Times New Roman" w:cs="Times New Roman" w:eastAsia="Times New Roman" w:hAnsi="Times New Roman"/>
                <w:color w:val="000000"/>
                <w:sz w:val="24"/>
                <w:szCs w:val="24"/>
                <w:rtl w:val="0"/>
              </w:rPr>
              <w:t xml:space="preserve"> Menstrual Health and Hygiene Management, </w:t>
            </w:r>
            <w:r w:rsidDel="00000000" w:rsidR="00000000" w:rsidRPr="00000000">
              <w:rPr>
                <w:rFonts w:ascii="Times New Roman" w:cs="Times New Roman" w:eastAsia="Times New Roman" w:hAnsi="Times New Roman"/>
                <w:i w:val="1"/>
                <w:color w:val="000000"/>
                <w:sz w:val="24"/>
                <w:szCs w:val="24"/>
                <w:rtl w:val="0"/>
              </w:rPr>
              <w:t xml:space="preserve">Chirali, Beti Bachao Beti Padhao (BBBP)</w:t>
            </w:r>
            <w:r w:rsidDel="00000000" w:rsidR="00000000" w:rsidRPr="00000000">
              <w:rPr>
                <w:rFonts w:ascii="Times New Roman" w:cs="Times New Roman" w:eastAsia="Times New Roman" w:hAnsi="Times New Roman"/>
                <w:color w:val="000000"/>
                <w:sz w:val="24"/>
                <w:szCs w:val="24"/>
                <w:rtl w:val="0"/>
              </w:rPr>
              <w:t xml:space="preserve"> and such others. </w:t>
            </w:r>
          </w:p>
          <w:p w:rsidR="00000000" w:rsidDel="00000000" w:rsidP="00000000" w:rsidRDefault="00000000" w:rsidRPr="00000000" w14:paraId="00000028">
            <w:pPr>
              <w:spacing w:after="120" w:before="120" w:line="276" w:lineRule="auto"/>
              <w:jc w:val="both"/>
              <w:rPr>
                <w:rFonts w:ascii="Times New Roman" w:cs="Times New Roman" w:eastAsia="Times New Roman" w:hAnsi="Times New Roman"/>
                <w:color w:val="000000"/>
                <w:sz w:val="24"/>
                <w:szCs w:val="24"/>
              </w:rPr>
            </w:pPr>
            <w:bookmarkStart w:colFirst="0" w:colLast="0" w:name="_heading=h.gjdgxs" w:id="1"/>
            <w:bookmarkEnd w:id="1"/>
            <w:r w:rsidDel="00000000" w:rsidR="00000000" w:rsidRPr="00000000">
              <w:rPr>
                <w:rFonts w:ascii="Times New Roman" w:cs="Times New Roman" w:eastAsia="Times New Roman" w:hAnsi="Times New Roman"/>
                <w:color w:val="000000"/>
                <w:sz w:val="24"/>
                <w:szCs w:val="24"/>
                <w:rtl w:val="0"/>
              </w:rPr>
              <w:t xml:space="preserve">UNFPA is looking to partner with experienced and credible </w:t>
            </w:r>
            <w:r w:rsidDel="00000000" w:rsidR="00000000" w:rsidRPr="00000000">
              <w:rPr>
                <w:rFonts w:ascii="Times New Roman" w:cs="Times New Roman" w:eastAsia="Times New Roman" w:hAnsi="Times New Roman"/>
                <w:sz w:val="24"/>
                <w:szCs w:val="24"/>
                <w:rtl w:val="0"/>
              </w:rPr>
              <w:t xml:space="preserve">organisations</w:t>
            </w:r>
            <w:r w:rsidDel="00000000" w:rsidR="00000000" w:rsidRPr="00000000">
              <w:rPr>
                <w:rFonts w:ascii="Times New Roman" w:cs="Times New Roman" w:eastAsia="Times New Roman" w:hAnsi="Times New Roman"/>
                <w:color w:val="000000"/>
                <w:sz w:val="24"/>
                <w:szCs w:val="24"/>
                <w:rtl w:val="0"/>
              </w:rPr>
              <w:t xml:space="preserve"> to implement the ambitious agenda envisaged in the 10th country programme. This </w:t>
            </w:r>
            <w:r w:rsidDel="00000000" w:rsidR="00000000" w:rsidRPr="00000000">
              <w:rPr>
                <w:rFonts w:ascii="Times New Roman" w:cs="Times New Roman" w:eastAsia="Times New Roman" w:hAnsi="Times New Roman"/>
                <w:b w:val="1"/>
                <w:sz w:val="24"/>
                <w:szCs w:val="24"/>
                <w:rtl w:val="0"/>
              </w:rPr>
              <w:t xml:space="preserve">Invitation for Proposals (IFP) from organizations is for implementing a multi-pronged approach to promote and ensure “</w:t>
            </w:r>
            <w:r w:rsidDel="00000000" w:rsidR="00000000" w:rsidRPr="00000000">
              <w:rPr>
                <w:rFonts w:ascii="Times New Roman" w:cs="Times New Roman" w:eastAsia="Times New Roman" w:hAnsi="Times New Roman"/>
                <w:b w:val="1"/>
                <w:i w:val="1"/>
                <w:color w:val="000000"/>
                <w:sz w:val="24"/>
                <w:szCs w:val="24"/>
                <w:rtl w:val="0"/>
              </w:rPr>
              <w:t xml:space="preserve">Universal access of Sexual Reproductive Health and Rights (SRHR), reaching the unreached though an integrated approach in the state of Rajasthan”. </w:t>
            </w:r>
            <w:r w:rsidDel="00000000" w:rsidR="00000000" w:rsidRPr="00000000">
              <w:rPr>
                <w:rFonts w:ascii="Times New Roman" w:cs="Times New Roman" w:eastAsia="Times New Roman" w:hAnsi="Times New Roman"/>
                <w:color w:val="000000"/>
                <w:sz w:val="24"/>
                <w:szCs w:val="24"/>
                <w:rtl w:val="0"/>
              </w:rPr>
              <w:t xml:space="preserve">The focus of the project will be on quality of care and ensuring essential package of SRHR interventions that includes (a) maternal health (b) family planning (c) prevention and treatment of HIV and other STIs (d) comprehensive sexuality education (e) detecting and preventing sexual and gender-based violence (f) other emerging SRH issues and (g) Information, counselling and services for sexual health and well-being.</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Objective: </w:t>
            </w:r>
            <w:r w:rsidDel="00000000" w:rsidR="00000000" w:rsidRPr="00000000">
              <w:rPr>
                <w:rFonts w:ascii="Times New Roman" w:cs="Times New Roman" w:eastAsia="Times New Roman" w:hAnsi="Times New Roman"/>
                <w:i w:val="1"/>
                <w:color w:val="000000"/>
                <w:sz w:val="24"/>
                <w:szCs w:val="24"/>
                <w:rtl w:val="0"/>
              </w:rPr>
              <w:t xml:space="preserve">The overall objective of the project is to </w:t>
            </w:r>
            <w:r w:rsidDel="00000000" w:rsidR="00000000" w:rsidRPr="00000000">
              <w:rPr>
                <w:rFonts w:ascii="Times New Roman" w:cs="Times New Roman" w:eastAsia="Times New Roman" w:hAnsi="Times New Roman"/>
                <w:i w:val="1"/>
                <w:sz w:val="24"/>
                <w:szCs w:val="24"/>
                <w:rtl w:val="0"/>
              </w:rPr>
              <w:t xml:space="preserve">address </w:t>
            </w:r>
            <w:r w:rsidDel="00000000" w:rsidR="00000000" w:rsidRPr="00000000">
              <w:rPr>
                <w:rFonts w:ascii="Times New Roman" w:cs="Times New Roman" w:eastAsia="Times New Roman" w:hAnsi="Times New Roman"/>
                <w:i w:val="1"/>
                <w:color w:val="000000"/>
                <w:sz w:val="24"/>
                <w:szCs w:val="24"/>
                <w:rtl w:val="0"/>
              </w:rPr>
              <w:t xml:space="preserve">SRH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needs of people of </w:t>
            </w:r>
            <w:r w:rsidDel="00000000" w:rsidR="00000000" w:rsidRPr="00000000">
              <w:rPr>
                <w:rFonts w:ascii="Times New Roman" w:cs="Times New Roman" w:eastAsia="Times New Roman" w:hAnsi="Times New Roman"/>
                <w:i w:val="1"/>
                <w:sz w:val="24"/>
                <w:szCs w:val="24"/>
                <w:rtl w:val="0"/>
              </w:rPr>
              <w:t xml:space="preserve">Rajasthan </w:t>
            </w:r>
            <w:r w:rsidDel="00000000" w:rsidR="00000000" w:rsidRPr="00000000">
              <w:rPr>
                <w:rFonts w:ascii="Times New Roman" w:cs="Times New Roman" w:eastAsia="Times New Roman" w:hAnsi="Times New Roman"/>
                <w:i w:val="1"/>
                <w:color w:val="000000"/>
                <w:sz w:val="24"/>
                <w:szCs w:val="24"/>
                <w:rtl w:val="0"/>
              </w:rPr>
              <w:t xml:space="preserve">with focus on </w:t>
            </w:r>
            <w:r w:rsidDel="00000000" w:rsidR="00000000" w:rsidRPr="00000000">
              <w:rPr>
                <w:rFonts w:ascii="Times New Roman" w:cs="Times New Roman" w:eastAsia="Times New Roman" w:hAnsi="Times New Roman"/>
                <w:i w:val="1"/>
                <w:sz w:val="24"/>
                <w:szCs w:val="24"/>
                <w:rtl w:val="0"/>
              </w:rPr>
              <w:t xml:space="preserve">marginalised</w:t>
            </w:r>
            <w:r w:rsidDel="00000000" w:rsidR="00000000" w:rsidRPr="00000000">
              <w:rPr>
                <w:rFonts w:ascii="Times New Roman" w:cs="Times New Roman" w:eastAsia="Times New Roman" w:hAnsi="Times New Roman"/>
                <w:i w:val="1"/>
                <w:color w:val="000000"/>
                <w:sz w:val="24"/>
                <w:szCs w:val="24"/>
                <w:rtl w:val="0"/>
              </w:rPr>
              <w:t xml:space="preserve"> groups and young people</w:t>
            </w:r>
            <w:r w:rsidDel="00000000" w:rsidR="00000000" w:rsidRPr="00000000">
              <w:rPr>
                <w:rFonts w:ascii="Times New Roman" w:cs="Times New Roman" w:eastAsia="Times New Roman" w:hAnsi="Times New Roman"/>
                <w:i w:val="1"/>
                <w:sz w:val="24"/>
                <w:szCs w:val="24"/>
                <w:rtl w:val="0"/>
              </w:rPr>
              <w:t xml:space="preserve"> by promoting an</w:t>
            </w:r>
            <w:r w:rsidDel="00000000" w:rsidR="00000000" w:rsidRPr="00000000">
              <w:rPr>
                <w:rFonts w:ascii="Times New Roman" w:cs="Times New Roman" w:eastAsia="Times New Roman" w:hAnsi="Times New Roman"/>
                <w:i w:val="1"/>
                <w:color w:val="000000"/>
                <w:sz w:val="24"/>
                <w:szCs w:val="24"/>
                <w:rtl w:val="0"/>
              </w:rPr>
              <w:t xml:space="preserve"> integrated approach through evidence based advocacy, technical support to large scale programmes and facilitating effective monitoring and coordination. </w:t>
            </w:r>
          </w:p>
          <w:p w:rsidR="00000000" w:rsidDel="00000000" w:rsidP="00000000" w:rsidRDefault="00000000" w:rsidRPr="00000000" w14:paraId="0000002A">
            <w:pPr>
              <w:spacing w:after="120" w:before="120"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The specific objective of the project are as follows:</w:t>
            </w:r>
            <w:r w:rsidDel="00000000" w:rsidR="00000000" w:rsidRPr="00000000">
              <w:rPr>
                <w:rtl w:val="0"/>
              </w:rPr>
            </w:r>
          </w:p>
          <w:p w:rsidR="00000000" w:rsidDel="00000000" w:rsidP="00000000" w:rsidRDefault="00000000" w:rsidRPr="00000000" w14:paraId="0000002B">
            <w:pPr>
              <w:numPr>
                <w:ilvl w:val="1"/>
                <w:numId w:val="6"/>
              </w:numPr>
              <w:pBdr>
                <w:top w:space="0" w:sz="0" w:val="nil"/>
                <w:left w:space="0" w:sz="0" w:val="nil"/>
                <w:bottom w:space="0" w:sz="0" w:val="nil"/>
                <w:right w:space="0" w:sz="0" w:val="nil"/>
                <w:between w:space="0" w:sz="0" w:val="nil"/>
              </w:pBdr>
              <w:spacing w:before="120" w:line="276" w:lineRule="auto"/>
              <w:ind w:left="35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 comprehensive SRH services in the state with focus on Reproductive, Maternal and Adolescent Health Services </w:t>
            </w:r>
          </w:p>
          <w:p w:rsidR="00000000" w:rsidDel="00000000" w:rsidP="00000000" w:rsidRDefault="00000000" w:rsidRPr="00000000" w14:paraId="0000002C">
            <w:pPr>
              <w:numPr>
                <w:ilvl w:val="1"/>
                <w:numId w:val="6"/>
              </w:numPr>
              <w:spacing w:after="16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systems, and institutional capacities to address discriminatory norms and harmful practices and promote gender responsive and rights based laws, policies and programmes</w:t>
            </w:r>
          </w:p>
          <w:p w:rsidR="00000000" w:rsidDel="00000000" w:rsidP="00000000" w:rsidRDefault="00000000" w:rsidRPr="00000000" w14:paraId="0000002D">
            <w:pPr>
              <w:numPr>
                <w:ilvl w:val="1"/>
                <w:numId w:val="6"/>
              </w:numPr>
              <w:pBdr>
                <w:top w:space="0" w:sz="0" w:val="nil"/>
                <w:left w:space="0" w:sz="0" w:val="nil"/>
                <w:bottom w:space="0" w:sz="0" w:val="nil"/>
                <w:right w:space="0" w:sz="0" w:val="nil"/>
                <w:between w:space="0" w:sz="0" w:val="nil"/>
              </w:pBdr>
              <w:spacing w:line="276" w:lineRule="auto"/>
              <w:ind w:left="35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 knowledge, skills and opportunities for adolescents and youth, particularly adolescent girls from the </w:t>
            </w:r>
            <w:r w:rsidDel="00000000" w:rsidR="00000000" w:rsidRPr="00000000">
              <w:rPr>
                <w:rFonts w:ascii="Times New Roman" w:cs="Times New Roman" w:eastAsia="Times New Roman" w:hAnsi="Times New Roman"/>
                <w:sz w:val="24"/>
                <w:szCs w:val="24"/>
                <w:rtl w:val="0"/>
              </w:rPr>
              <w:t xml:space="preserve">marginalised</w:t>
            </w:r>
            <w:r w:rsidDel="00000000" w:rsidR="00000000" w:rsidRPr="00000000">
              <w:rPr>
                <w:rFonts w:ascii="Times New Roman" w:cs="Times New Roman" w:eastAsia="Times New Roman" w:hAnsi="Times New Roman"/>
                <w:color w:val="000000"/>
                <w:sz w:val="24"/>
                <w:szCs w:val="24"/>
                <w:rtl w:val="0"/>
              </w:rPr>
              <w:t xml:space="preserve"> populations, to ensure their right to bodily autonomy, leadership and informed decision making</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Scope of work: </w:t>
            </w:r>
            <w:r w:rsidDel="00000000" w:rsidR="00000000" w:rsidRPr="00000000">
              <w:rPr>
                <w:rFonts w:ascii="Times New Roman" w:cs="Times New Roman" w:eastAsia="Times New Roman" w:hAnsi="Times New Roman"/>
                <w:color w:val="000000"/>
                <w:sz w:val="24"/>
                <w:szCs w:val="24"/>
                <w:rtl w:val="0"/>
              </w:rPr>
              <w:t xml:space="preserve">The scope of work is aimed at achieving the three broad objectives of the project are as follows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0">
            <w:pPr>
              <w:spacing w:line="276"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1">
            <w:pPr>
              <w:spacing w:line="276" w:lineRule="auto"/>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b w:val="1"/>
                <w:color w:val="0070c0"/>
                <w:sz w:val="24"/>
                <w:szCs w:val="24"/>
                <w:u w:val="single"/>
                <w:rtl w:val="0"/>
              </w:rPr>
              <w:t xml:space="preserve">Specific Objective A:</w:t>
            </w:r>
            <w:r w:rsidDel="00000000" w:rsidR="00000000" w:rsidRPr="00000000">
              <w:rPr>
                <w:rFonts w:ascii="Times New Roman" w:cs="Times New Roman" w:eastAsia="Times New Roman" w:hAnsi="Times New Roman"/>
                <w:color w:val="0070c0"/>
                <w:sz w:val="24"/>
                <w:szCs w:val="24"/>
                <w:rtl w:val="0"/>
              </w:rPr>
              <w:t xml:space="preserve"> Strengthen comprehensive SRH services in the state with focus on Reproductive, Maternal and Adolescent Health Services </w:t>
            </w:r>
          </w:p>
          <w:p w:rsidR="00000000" w:rsidDel="00000000" w:rsidP="00000000" w:rsidRDefault="00000000" w:rsidRPr="00000000" w14:paraId="00000032">
            <w:pP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 Scope of work :</w:t>
            </w:r>
          </w:p>
          <w:p w:rsidR="00000000" w:rsidDel="00000000" w:rsidP="00000000" w:rsidRDefault="00000000" w:rsidRPr="00000000" w14:paraId="00000033">
            <w:pPr>
              <w:numPr>
                <w:ilvl w:val="0"/>
                <w:numId w:val="20"/>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Improve quality of MH services, including adherence to evidence-based practices and standards</w:t>
            </w:r>
          </w:p>
          <w:p w:rsidR="00000000" w:rsidDel="00000000" w:rsidP="00000000" w:rsidRDefault="00000000" w:rsidRPr="00000000" w14:paraId="00000034">
            <w:pPr>
              <w:numPr>
                <w:ilvl w:val="0"/>
                <w:numId w:val="20"/>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Support in rolling out of Midwifery programme in the state</w:t>
            </w:r>
          </w:p>
          <w:p w:rsidR="00000000" w:rsidDel="00000000" w:rsidP="00000000" w:rsidRDefault="00000000" w:rsidRPr="00000000" w14:paraId="00000035">
            <w:pPr>
              <w:numPr>
                <w:ilvl w:val="0"/>
                <w:numId w:val="20"/>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 implementation of national / state initiatives (LaQshya &amp; SUMAN) to ensure quality, respectful, dignified and assured care, especially for women from </w:t>
            </w:r>
            <w:r w:rsidDel="00000000" w:rsidR="00000000" w:rsidRPr="00000000">
              <w:rPr>
                <w:rFonts w:ascii="Times New Roman" w:cs="Times New Roman" w:eastAsia="Times New Roman" w:hAnsi="Times New Roman"/>
                <w:sz w:val="24"/>
                <w:szCs w:val="24"/>
                <w:rtl w:val="0"/>
              </w:rPr>
              <w:t xml:space="preserve">marginalised</w:t>
            </w:r>
            <w:r w:rsidDel="00000000" w:rsidR="00000000" w:rsidRPr="00000000">
              <w:rPr>
                <w:rFonts w:ascii="Times New Roman" w:cs="Times New Roman" w:eastAsia="Times New Roman" w:hAnsi="Times New Roman"/>
                <w:color w:val="000000"/>
                <w:sz w:val="24"/>
                <w:szCs w:val="24"/>
                <w:rtl w:val="0"/>
              </w:rPr>
              <w:t xml:space="preserve"> communities</w:t>
            </w:r>
          </w:p>
          <w:p w:rsidR="00000000" w:rsidDel="00000000" w:rsidP="00000000" w:rsidRDefault="00000000" w:rsidRPr="00000000" w14:paraId="00000036">
            <w:pPr>
              <w:numPr>
                <w:ilvl w:val="0"/>
                <w:numId w:val="20"/>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Improve the quality of Maternal Death Surveillance and Reporting (MDSR) in the state with focus on seven UNFPA supported districts (pls refer Section 4 - geographical coverage)</w:t>
            </w:r>
          </w:p>
          <w:p w:rsidR="00000000" w:rsidDel="00000000" w:rsidP="00000000" w:rsidRDefault="00000000" w:rsidRPr="00000000" w14:paraId="00000037">
            <w:pPr>
              <w:numPr>
                <w:ilvl w:val="0"/>
                <w:numId w:val="20"/>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Pilot interventions to create demand for quality SRH service, with focus on young people</w:t>
            </w:r>
          </w:p>
          <w:p w:rsidR="00000000" w:rsidDel="00000000" w:rsidP="00000000" w:rsidRDefault="00000000" w:rsidRPr="00000000" w14:paraId="00000038">
            <w:pPr>
              <w:numPr>
                <w:ilvl w:val="0"/>
                <w:numId w:val="20"/>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Suggest </w:t>
            </w:r>
            <w:r w:rsidDel="00000000" w:rsidR="00000000" w:rsidRPr="00000000">
              <w:rPr>
                <w:rFonts w:ascii="Times New Roman" w:cs="Times New Roman" w:eastAsia="Times New Roman" w:hAnsi="Times New Roman"/>
                <w:color w:val="000000"/>
                <w:sz w:val="24"/>
                <w:szCs w:val="24"/>
                <w:rtl w:val="0"/>
              </w:rPr>
              <w:t xml:space="preserve">interventions to address the impact of climate change on SRH and address vulnerabilities of girls and women</w:t>
            </w:r>
          </w:p>
          <w:p w:rsidR="00000000" w:rsidDel="00000000" w:rsidP="00000000" w:rsidRDefault="00000000" w:rsidRPr="00000000" w14:paraId="00000039">
            <w:pPr>
              <w:numPr>
                <w:ilvl w:val="0"/>
                <w:numId w:val="20"/>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 availability of package of comprehensive SRH services</w:t>
            </w:r>
            <w:r w:rsidDel="00000000" w:rsidR="00000000" w:rsidRPr="00000000">
              <w:rPr>
                <w:rFonts w:ascii="Times New Roman" w:cs="Times New Roman" w:eastAsia="Times New Roman" w:hAnsi="Times New Roman"/>
                <w:color w:val="000000"/>
                <w:sz w:val="24"/>
                <w:szCs w:val="24"/>
                <w:vertAlign w:val="superscript"/>
              </w:rPr>
              <w:footnoteReference w:customMarkFollows="0" w:id="0"/>
            </w:r>
            <w:r w:rsidDel="00000000" w:rsidR="00000000" w:rsidRPr="00000000">
              <w:rPr>
                <w:rFonts w:ascii="Times New Roman" w:cs="Times New Roman" w:eastAsia="Times New Roman" w:hAnsi="Times New Roman"/>
                <w:color w:val="000000"/>
                <w:sz w:val="24"/>
                <w:szCs w:val="24"/>
                <w:rtl w:val="0"/>
              </w:rPr>
              <w:t xml:space="preserve"> at various levels of public health facilities</w:t>
            </w:r>
          </w:p>
          <w:p w:rsidR="00000000" w:rsidDel="00000000" w:rsidP="00000000" w:rsidRDefault="00000000" w:rsidRPr="00000000" w14:paraId="0000003A">
            <w:pPr>
              <w:numPr>
                <w:ilvl w:val="0"/>
                <w:numId w:val="20"/>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 FP supply chain and LMIS to reduce stock outs in the state, including demonstrating tech based solution for commodity security and linkages of the FPLMIS with clients in one of the UNFPA priority/ intervention districts</w:t>
            </w:r>
          </w:p>
          <w:p w:rsidR="00000000" w:rsidDel="00000000" w:rsidP="00000000" w:rsidRDefault="00000000" w:rsidRPr="00000000" w14:paraId="0000003B">
            <w:pPr>
              <w:numPr>
                <w:ilvl w:val="0"/>
                <w:numId w:val="20"/>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 family planning </w:t>
            </w:r>
            <w:r w:rsidDel="00000000" w:rsidR="00000000" w:rsidRPr="00000000">
              <w:rPr>
                <w:rFonts w:ascii="Times New Roman" w:cs="Times New Roman" w:eastAsia="Times New Roman" w:hAnsi="Times New Roman"/>
                <w:sz w:val="24"/>
                <w:szCs w:val="24"/>
                <w:rtl w:val="0"/>
              </w:rPr>
              <w:t xml:space="preserve">counselling</w:t>
            </w:r>
            <w:r w:rsidDel="00000000" w:rsidR="00000000" w:rsidRPr="00000000">
              <w:rPr>
                <w:rFonts w:ascii="Times New Roman" w:cs="Times New Roman" w:eastAsia="Times New Roman" w:hAnsi="Times New Roman"/>
                <w:color w:val="000000"/>
                <w:sz w:val="24"/>
                <w:szCs w:val="24"/>
                <w:rtl w:val="0"/>
              </w:rPr>
              <w:t xml:space="preserve"> services with focus on post-partum family planning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Indicative Deliverables</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and implementation of capacity building sessions and monitoring to improve quality of comprehensive SRH health services in the state</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Pilots designed and implemented to create demand for quality SRH services</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Capacity building and monitoring to strengthen the supply chain and ensure availability of contraceptives in health facilities.</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Capacity building and mentoring to improve family planning counselling services.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Indicative Results and Outputs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tl w:val="0"/>
              </w:rPr>
            </w:r>
          </w:p>
          <w:p w:rsidR="00000000" w:rsidDel="00000000" w:rsidP="00000000" w:rsidRDefault="00000000" w:rsidRPr="00000000" w14:paraId="00000045">
            <w:pPr>
              <w:numPr>
                <w:ilvl w:val="0"/>
                <w:numId w:val="8"/>
              </w:numPr>
              <w:pBdr>
                <w:top w:space="0" w:sz="0" w:val="nil"/>
                <w:left w:space="0" w:sz="0" w:val="nil"/>
                <w:bottom w:space="0" w:sz="0" w:val="nil"/>
                <w:right w:space="0" w:sz="0" w:val="nil"/>
                <w:between w:space="0" w:sz="0" w:val="nil"/>
              </w:pBdr>
              <w:spacing w:line="276" w:lineRule="auto"/>
              <w:ind w:left="357"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of facilities in intervention districts(seven) are certified on LaQshya standards in the state.</w:t>
            </w:r>
          </w:p>
          <w:p w:rsidR="00000000" w:rsidDel="00000000" w:rsidP="00000000" w:rsidRDefault="00000000" w:rsidRPr="00000000" w14:paraId="00000046">
            <w:pPr>
              <w:numPr>
                <w:ilvl w:val="0"/>
                <w:numId w:val="8"/>
              </w:numPr>
              <w:pBdr>
                <w:top w:space="0" w:sz="0" w:val="nil"/>
                <w:left w:space="0" w:sz="0" w:val="nil"/>
                <w:bottom w:space="0" w:sz="0" w:val="nil"/>
                <w:right w:space="0" w:sz="0" w:val="nil"/>
                <w:between w:space="0" w:sz="0" w:val="nil"/>
              </w:pBdr>
              <w:spacing w:line="276" w:lineRule="auto"/>
              <w:ind w:left="357"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of facilities in the UNFPA intervention districts (seven) following SUMAN guidelines</w:t>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spacing w:line="276" w:lineRule="auto"/>
              <w:ind w:left="357"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of intervention districts (out of seven) implementing MDSR according to the national guidelines</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pacing w:line="276" w:lineRule="auto"/>
              <w:ind w:left="357"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interventions piloted / demonstrated to improve demand for SRH services</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pacing w:line="276" w:lineRule="auto"/>
              <w:ind w:left="357"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interventions piloted or consultation </w:t>
            </w:r>
            <w:r w:rsidDel="00000000" w:rsidR="00000000" w:rsidRPr="00000000">
              <w:rPr>
                <w:rFonts w:ascii="Times New Roman" w:cs="Times New Roman" w:eastAsia="Times New Roman" w:hAnsi="Times New Roman"/>
                <w:sz w:val="24"/>
                <w:szCs w:val="24"/>
                <w:rtl w:val="0"/>
              </w:rPr>
              <w:t xml:space="preserve">organised</w:t>
            </w:r>
            <w:r w:rsidDel="00000000" w:rsidR="00000000" w:rsidRPr="00000000">
              <w:rPr>
                <w:rFonts w:ascii="Times New Roman" w:cs="Times New Roman" w:eastAsia="Times New Roman" w:hAnsi="Times New Roman"/>
                <w:color w:val="000000"/>
                <w:sz w:val="24"/>
                <w:szCs w:val="24"/>
                <w:rtl w:val="0"/>
              </w:rPr>
              <w:t xml:space="preserve"> to advance SRH intervention in context of climate change</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spacing w:line="276" w:lineRule="auto"/>
              <w:ind w:left="357"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Development of State level FP 2030 Roadmap (Yes/No)</w:t>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spacing w:line="276" w:lineRule="auto"/>
              <w:ind w:left="357"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of health facilities upto PHC level (disaggregated by level) which report no stock out of contraceptives in last 3 months </w:t>
            </w:r>
          </w:p>
          <w:p w:rsidR="00000000" w:rsidDel="00000000" w:rsidP="00000000" w:rsidRDefault="00000000" w:rsidRPr="00000000" w14:paraId="0000004C">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tl w:val="0"/>
              </w:rPr>
            </w:r>
          </w:p>
          <w:p w:rsidR="00000000" w:rsidDel="00000000" w:rsidP="00000000" w:rsidRDefault="00000000" w:rsidRPr="00000000" w14:paraId="0000004E">
            <w:pPr>
              <w:spacing w:line="276" w:lineRule="auto"/>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b w:val="1"/>
                <w:color w:val="0070c0"/>
                <w:sz w:val="24"/>
                <w:szCs w:val="24"/>
                <w:u w:val="single"/>
                <w:rtl w:val="0"/>
              </w:rPr>
              <w:t xml:space="preserve">Specific Objective B:</w:t>
            </w:r>
            <w:r w:rsidDel="00000000" w:rsidR="00000000" w:rsidRPr="00000000">
              <w:rPr>
                <w:rFonts w:ascii="Times New Roman" w:cs="Times New Roman" w:eastAsia="Times New Roman" w:hAnsi="Times New Roman"/>
                <w:color w:val="0070c0"/>
                <w:sz w:val="24"/>
                <w:szCs w:val="24"/>
                <w:rtl w:val="0"/>
              </w:rPr>
              <w:t xml:space="preserve"> Strengthen systems, and institutional capacities to address discriminatory norms and harmful practices and promote gender responsive and rights based laws, policies and programmes</w:t>
            </w:r>
          </w:p>
          <w:p w:rsidR="00000000" w:rsidDel="00000000" w:rsidP="00000000" w:rsidRDefault="00000000" w:rsidRPr="00000000" w14:paraId="0000004F">
            <w:pP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Scope of work :</w:t>
            </w:r>
          </w:p>
          <w:p w:rsidR="00000000" w:rsidDel="00000000" w:rsidP="00000000" w:rsidRDefault="00000000" w:rsidRPr="00000000" w14:paraId="00000050">
            <w:pPr>
              <w:numPr>
                <w:ilvl w:val="0"/>
                <w:numId w:val="14"/>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 the multi-sectoral response to Gender Based Violence (GBV) from a gender, rights and public health perspective (health sector and One stop </w:t>
            </w:r>
            <w:r w:rsidDel="00000000" w:rsidR="00000000" w:rsidRPr="00000000">
              <w:rPr>
                <w:rFonts w:ascii="Times New Roman" w:cs="Times New Roman" w:eastAsia="Times New Roman" w:hAnsi="Times New Roman"/>
                <w:sz w:val="24"/>
                <w:szCs w:val="24"/>
                <w:rtl w:val="0"/>
              </w:rPr>
              <w:t xml:space="preserve">centres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1">
            <w:pPr>
              <w:numPr>
                <w:ilvl w:val="0"/>
                <w:numId w:val="14"/>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Support in transacting gender-transformative, rights-based life skills education to out of school adolescent girls through community-based interventions (Scheme for Adolescent girls) in the state</w:t>
            </w:r>
            <w:r w:rsidDel="00000000" w:rsidR="00000000" w:rsidRPr="00000000">
              <w:rPr>
                <w:rtl w:val="0"/>
              </w:rPr>
            </w:r>
          </w:p>
          <w:p w:rsidR="00000000" w:rsidDel="00000000" w:rsidP="00000000" w:rsidRDefault="00000000" w:rsidRPr="00000000" w14:paraId="00000052">
            <w:pPr>
              <w:numPr>
                <w:ilvl w:val="0"/>
                <w:numId w:val="14"/>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Undertake evidence based advocacy and documentation of best practices for wider dissemination and learnings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Indicative Deliverables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6">
            <w:pPr>
              <w:numPr>
                <w:ilvl w:val="0"/>
                <w:numId w:val="12"/>
              </w:numPr>
              <w:pBdr>
                <w:top w:space="0" w:sz="0" w:val="nil"/>
                <w:left w:space="0" w:sz="0" w:val="nil"/>
                <w:bottom w:space="0" w:sz="0" w:val="nil"/>
                <w:right w:space="0" w:sz="0" w:val="nil"/>
                <w:between w:space="0" w:sz="0" w:val="nil"/>
              </w:pBdr>
              <w:spacing w:line="276" w:lineRule="auto"/>
              <w:ind w:left="397"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sessions designed and implemented on screening, treatment and referral of GBV survivors.</w:t>
            </w:r>
          </w:p>
          <w:p w:rsidR="00000000" w:rsidDel="00000000" w:rsidP="00000000" w:rsidRDefault="00000000" w:rsidRPr="00000000" w14:paraId="00000057">
            <w:pPr>
              <w:numPr>
                <w:ilvl w:val="0"/>
                <w:numId w:val="12"/>
              </w:numPr>
              <w:pBdr>
                <w:top w:space="0" w:sz="0" w:val="nil"/>
                <w:left w:space="0" w:sz="0" w:val="nil"/>
                <w:bottom w:space="0" w:sz="0" w:val="nil"/>
                <w:right w:space="0" w:sz="0" w:val="nil"/>
                <w:between w:space="0" w:sz="0" w:val="nil"/>
              </w:pBdr>
              <w:spacing w:line="276" w:lineRule="auto"/>
              <w:ind w:left="397"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interventions strengthened for LSE for out of school adolescent girls.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Key Indicators:</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276" w:lineRule="auto"/>
              <w:ind w:left="397" w:hanging="39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health providers who have been trained protocols / SOPs related to screening, treatment and referral of GBV survivors as an integrated package of SRH services</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line="276" w:lineRule="auto"/>
              <w:ind w:left="397"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out-of-schools girls reached through community based interventions such as Scheme for adolescent Girls.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120" w:before="120" w:line="276" w:lineRule="auto"/>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b w:val="1"/>
                <w:color w:val="0070c0"/>
                <w:sz w:val="24"/>
                <w:szCs w:val="24"/>
                <w:u w:val="single"/>
                <w:rtl w:val="0"/>
              </w:rPr>
              <w:t xml:space="preserve">Specific Objective C:</w:t>
            </w:r>
            <w:r w:rsidDel="00000000" w:rsidR="00000000" w:rsidRPr="00000000">
              <w:rPr>
                <w:rFonts w:ascii="Times New Roman" w:cs="Times New Roman" w:eastAsia="Times New Roman" w:hAnsi="Times New Roman"/>
                <w:color w:val="0070c0"/>
                <w:sz w:val="24"/>
                <w:szCs w:val="24"/>
                <w:rtl w:val="0"/>
              </w:rPr>
              <w:t xml:space="preserve"> Increased knowledge, skills and opportunities for adolescents and youth, particularly adolescent girls from the marginalised populations, to ensure their right to bodily autonomy, leadership and informed decision making</w:t>
            </w:r>
          </w:p>
          <w:p w:rsidR="00000000" w:rsidDel="00000000" w:rsidP="00000000" w:rsidRDefault="00000000" w:rsidRPr="00000000" w14:paraId="0000005E">
            <w:pP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Scope of work :</w:t>
            </w:r>
          </w:p>
          <w:p w:rsidR="00000000" w:rsidDel="00000000" w:rsidP="00000000" w:rsidRDefault="00000000" w:rsidRPr="00000000" w14:paraId="0000005F">
            <w:pP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tl w:val="0"/>
              </w:rPr>
            </w:r>
          </w:p>
          <w:p w:rsidR="00000000" w:rsidDel="00000000" w:rsidP="00000000" w:rsidRDefault="00000000" w:rsidRPr="00000000" w14:paraId="00000060">
            <w:pPr>
              <w:numPr>
                <w:ilvl w:val="0"/>
                <w:numId w:val="16"/>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Support in implementation of comprehensive sexuality education or life skills education (LSE) and promote integrating counselling services for adolescent girls studying in Kasturba Gandhi Balika </w:t>
            </w:r>
            <w:r w:rsidDel="00000000" w:rsidR="00000000" w:rsidRPr="00000000">
              <w:rPr>
                <w:rFonts w:ascii="Times New Roman" w:cs="Times New Roman" w:eastAsia="Times New Roman" w:hAnsi="Times New Roman"/>
                <w:sz w:val="24"/>
                <w:szCs w:val="24"/>
                <w:rtl w:val="0"/>
              </w:rPr>
              <w:t xml:space="preserve">Vidyalaya</w:t>
            </w:r>
            <w:r w:rsidDel="00000000" w:rsidR="00000000" w:rsidRPr="00000000">
              <w:rPr>
                <w:rFonts w:ascii="Times New Roman" w:cs="Times New Roman" w:eastAsia="Times New Roman" w:hAnsi="Times New Roman"/>
                <w:color w:val="000000"/>
                <w:sz w:val="24"/>
                <w:szCs w:val="24"/>
                <w:rtl w:val="0"/>
              </w:rPr>
              <w:t xml:space="preserve"> (KGBV) schooling system. Pilot tech based solution or develop Learning labs / model sites for strengthening implementation of LSE in the state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Indicative Deliverables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Design and implementation of capacity building and monitoring of teachers to conduct LSE session and provide integrated counselling services for adolescent girls.</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Design and implementation of technology based solutions / learning labs to strengthen implementation of LSE in the state.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Key Indicators</w:t>
            </w:r>
          </w:p>
          <w:p w:rsidR="00000000" w:rsidDel="00000000" w:rsidP="00000000" w:rsidRDefault="00000000" w:rsidRPr="00000000" w14:paraId="00000067">
            <w:pPr>
              <w:numPr>
                <w:ilvl w:val="0"/>
                <w:numId w:val="18"/>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 in knowledge, aptitude and practices among adolescent girls and other key stakeholders on life skills themes</w:t>
            </w:r>
            <w:r w:rsidDel="00000000" w:rsidR="00000000" w:rsidRPr="00000000">
              <w:rPr>
                <w:rtl w:val="0"/>
              </w:rPr>
            </w:r>
          </w:p>
          <w:p w:rsidR="00000000" w:rsidDel="00000000" w:rsidP="00000000" w:rsidRDefault="00000000" w:rsidRPr="00000000" w14:paraId="00000068">
            <w:pPr>
              <w:numPr>
                <w:ilvl w:val="0"/>
                <w:numId w:val="18"/>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earning labs / model sites demonstrated in KGBV schools for implementation of LSE programmes</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968"/>
              </w:tabs>
              <w:spacing w:line="276"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Geographic Coverage: </w:t>
            </w:r>
            <w:r w:rsidDel="00000000" w:rsidR="00000000" w:rsidRPr="00000000">
              <w:rPr>
                <w:rtl w:val="0"/>
              </w:rPr>
            </w:r>
          </w:p>
          <w:p w:rsidR="00000000" w:rsidDel="00000000" w:rsidP="00000000" w:rsidRDefault="00000000" w:rsidRPr="00000000" w14:paraId="0000006B">
            <w:pPr>
              <w:numPr>
                <w:ilvl w:val="0"/>
                <w:numId w:val="10"/>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State level support in the identified areas working through concerned departments of the state government. </w:t>
            </w:r>
          </w:p>
          <w:p w:rsidR="00000000" w:rsidDel="00000000" w:rsidP="00000000" w:rsidRDefault="00000000" w:rsidRPr="00000000" w14:paraId="0000006C">
            <w:pPr>
              <w:numPr>
                <w:ilvl w:val="0"/>
                <w:numId w:val="10"/>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Seven UNFPA priority districts - Baran, Dholpur, Jaisalmer, Karauli, Sirohi, Sawai </w:t>
            </w:r>
            <w:r w:rsidDel="00000000" w:rsidR="00000000" w:rsidRPr="00000000">
              <w:rPr>
                <w:rFonts w:ascii="Times New Roman" w:cs="Times New Roman" w:eastAsia="Times New Roman" w:hAnsi="Times New Roman"/>
                <w:sz w:val="24"/>
                <w:szCs w:val="24"/>
                <w:rtl w:val="0"/>
              </w:rPr>
              <w:t xml:space="preserve">Madhopur</w:t>
            </w:r>
            <w:r w:rsidDel="00000000" w:rsidR="00000000" w:rsidRPr="00000000">
              <w:rPr>
                <w:rFonts w:ascii="Times New Roman" w:cs="Times New Roman" w:eastAsia="Times New Roman" w:hAnsi="Times New Roman"/>
                <w:color w:val="000000"/>
                <w:sz w:val="24"/>
                <w:szCs w:val="24"/>
                <w:rtl w:val="0"/>
              </w:rPr>
              <w:t xml:space="preserve"> and Udaipur)</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spacing w:line="276"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Duration:  </w:t>
            </w:r>
            <w:r w:rsidDel="00000000" w:rsidR="00000000" w:rsidRPr="00000000">
              <w:rPr>
                <w:rFonts w:ascii="Times New Roman" w:cs="Times New Roman" w:eastAsia="Times New Roman" w:hAnsi="Times New Roman"/>
                <w:sz w:val="24"/>
                <w:szCs w:val="24"/>
                <w:rtl w:val="0"/>
              </w:rPr>
              <w:t xml:space="preserve">The proposal is sought for a period of three years starting January 2023. Year wise budget to be submitted for three years. </w:t>
            </w:r>
            <w:r w:rsidDel="00000000" w:rsidR="00000000" w:rsidRPr="00000000">
              <w:rPr>
                <w:rFonts w:ascii="Times New Roman" w:cs="Times New Roman" w:eastAsia="Times New Roman" w:hAnsi="Times New Roman"/>
                <w:color w:val="000000"/>
                <w:sz w:val="24"/>
                <w:szCs w:val="24"/>
                <w:rtl w:val="0"/>
              </w:rPr>
              <w:t xml:space="preserve">UNFPA will provide financial support on an annual basis depending on the availability of funds and progress of the project.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above objectives and the broad scope of work, interested agencies are required to detail out the key activities in detail including suggestive collaboration or partnership with key government departments or any other CSOs. They are also expected to indicate expected level of achievement against each indicator and broad deliverables. </w:t>
            </w:r>
          </w:p>
          <w:p w:rsidR="00000000" w:rsidDel="00000000" w:rsidP="00000000" w:rsidRDefault="00000000" w:rsidRPr="00000000" w14:paraId="0000007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Approaches or activities related to adopting Human Rights based approach, evidence / data led strategies / activities, innovations, leveraging government / private agency resources, tech based solution, partnership with civil societies or development partners will be greatly valued and will be an added advantage during the comparative evaluation of the IfP. Kindly highlight the same in the proposal.</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200" w:line="276"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bookmarkStart w:colFirst="0" w:colLast="0" w:name="bookmark=id.30j0zll" w:id="2"/>
    <w:bookmarkEnd w:id="2"/>
    <w:bookmarkStart w:colFirst="0" w:colLast="0" w:name="bookmark=id.1fob9te" w:id="3"/>
    <w:bookmarkEnd w:id="3"/>
    <w:bookmarkStart w:colFirst="0" w:colLast="0" w:name="bookmark=id.3znysh7" w:id="4"/>
    <w:bookmarkEnd w:id="4"/>
    <w:p w:rsidR="00000000" w:rsidDel="00000000" w:rsidP="00000000" w:rsidRDefault="00000000" w:rsidRPr="00000000" w14:paraId="00000079">
      <w:pPr>
        <w:rPr>
          <w:rFonts w:ascii="Times New Roman" w:cs="Times New Roman" w:eastAsia="Times New Roman" w:hAnsi="Times New Roman"/>
          <w:b w:val="1"/>
          <w:color w:val="0099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Title"/>
        <w:tabs>
          <w:tab w:val="left" w:pos="426"/>
          <w:tab w:val="left" w:pos="1134"/>
        </w:tabs>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 to be used by the agency to submit the proposal</w:t>
      </w:r>
    </w:p>
    <w:p w:rsidR="00000000" w:rsidDel="00000000" w:rsidP="00000000" w:rsidRDefault="00000000" w:rsidRPr="00000000" w14:paraId="0000007B">
      <w:pPr>
        <w:rPr/>
      </w:pPr>
      <w:r w:rsidDel="00000000" w:rsidR="00000000" w:rsidRPr="00000000">
        <w:rPr>
          <w:rtl w:val="0"/>
        </w:rPr>
      </w:r>
    </w:p>
    <w:tbl>
      <w:tblPr>
        <w:tblStyle w:val="Table3"/>
        <w:tblW w:w="971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7C">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p w:rsidR="00000000" w:rsidDel="00000000" w:rsidP="00000000" w:rsidRDefault="00000000" w:rsidRPr="00000000" w14:paraId="0000009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9">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B4">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2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B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 (250 words)</w:t>
            </w:r>
          </w:p>
        </w:tc>
        <w:tc>
          <w:tcPr>
            <w:shd w:fill="d9d9d9" w:val="clear"/>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B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4">
            <w:pPr>
              <w:keepNext w:val="1"/>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Project Title (25 Words)</w:t>
            </w:r>
          </w:p>
        </w:tc>
        <w:tc>
          <w:tcPr>
            <w:tcBorders>
              <w:left w:color="bdd7ee" w:space="0" w:sz="6" w:val="single"/>
            </w:tcBorders>
          </w:tcPr>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7">
            <w:pPr>
              <w:keepNext w:val="1"/>
              <w:widowControl w:val="0"/>
              <w:rPr/>
            </w:pPr>
            <w:r w:rsidDel="00000000" w:rsidR="00000000" w:rsidRPr="00000000">
              <w:rPr>
                <w:rFonts w:ascii="Times New Roman" w:cs="Times New Roman" w:eastAsia="Times New Roman" w:hAnsi="Times New Roman"/>
                <w:sz w:val="22"/>
                <w:szCs w:val="22"/>
                <w:rtl w:val="0"/>
              </w:rPr>
              <w:t xml:space="preserve">C.2 </w:t>
            </w:r>
            <w:r w:rsidDel="00000000" w:rsidR="00000000" w:rsidRPr="00000000">
              <w:rPr>
                <w:rtl w:val="0"/>
              </w:rPr>
              <w:t xml:space="preserve">Background</w:t>
            </w:r>
          </w:p>
          <w:p w:rsidR="00000000" w:rsidDel="00000000" w:rsidP="00000000" w:rsidRDefault="00000000" w:rsidRPr="00000000" w14:paraId="000000C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(300 Words)</w:t>
            </w:r>
          </w:p>
        </w:tc>
        <w:tc>
          <w:tcPr>
            <w:tcBorders>
              <w:left w:color="bdd7ee" w:space="0" w:sz="6" w:val="single"/>
            </w:tcBorders>
          </w:tcPr>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C">
            <w:pPr>
              <w:keepNext w:val="1"/>
              <w:rPr>
                <w:b w:val="1"/>
              </w:rPr>
            </w:pPr>
            <w:r w:rsidDel="00000000" w:rsidR="00000000" w:rsidRPr="00000000">
              <w:rPr>
                <w:rFonts w:ascii="Times New Roman" w:cs="Times New Roman" w:eastAsia="Times New Roman" w:hAnsi="Times New Roman"/>
                <w:sz w:val="22"/>
                <w:szCs w:val="22"/>
                <w:rtl w:val="0"/>
              </w:rPr>
              <w:t xml:space="preserve">C.3 Goal and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2"/>
                <w:szCs w:val="22"/>
              </w:rPr>
            </w:pPr>
            <w:r w:rsidDel="00000000" w:rsidR="00000000" w:rsidRPr="00000000">
              <w:rPr>
                <w:rtl w:val="0"/>
              </w:rPr>
              <w:t xml:space="preserve">(300 words)</w:t>
            </w:r>
            <w:r w:rsidDel="00000000" w:rsidR="00000000" w:rsidRPr="00000000">
              <w:rPr>
                <w:rtl w:val="0"/>
              </w:rPr>
            </w:r>
          </w:p>
        </w:tc>
        <w:tc>
          <w:tcPr>
            <w:tcBorders>
              <w:left w:color="bdd7ee" w:space="0" w:sz="6" w:val="single"/>
            </w:tcBorders>
          </w:tcPr>
          <w:p w:rsidR="00000000" w:rsidDel="00000000" w:rsidP="00000000" w:rsidRDefault="00000000" w:rsidRPr="00000000" w14:paraId="000000C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1">
            <w:pPr>
              <w:keepNext w:val="1"/>
              <w:rPr/>
            </w:pPr>
            <w:r w:rsidDel="00000000" w:rsidR="00000000" w:rsidRPr="00000000">
              <w:rPr>
                <w:rtl w:val="0"/>
              </w:rPr>
              <w:t xml:space="preserve">C.4 Geographic coverage </w:t>
            </w:r>
          </w:p>
          <w:p w:rsidR="00000000" w:rsidDel="00000000" w:rsidP="00000000" w:rsidRDefault="00000000" w:rsidRPr="00000000" w14:paraId="000000D2">
            <w:pPr>
              <w:keepNext w:val="1"/>
              <w:rPr/>
            </w:pPr>
            <w:r w:rsidDel="00000000" w:rsidR="00000000" w:rsidRPr="00000000">
              <w:rPr>
                <w:rtl w:val="0"/>
              </w:rPr>
              <w:t xml:space="preserve">(150 words)</w:t>
            </w:r>
          </w:p>
          <w:p w:rsidR="00000000" w:rsidDel="00000000" w:rsidP="00000000" w:rsidRDefault="00000000" w:rsidRPr="00000000" w14:paraId="000000D3">
            <w:pPr>
              <w:keepNext w:val="1"/>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5">
            <w:pPr>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C.5 Duration of the project (50 words)</w:t>
            </w:r>
          </w:p>
          <w:p w:rsidR="00000000" w:rsidDel="00000000" w:rsidP="00000000" w:rsidRDefault="00000000" w:rsidRPr="00000000" w14:paraId="000000D6">
            <w:pPr>
              <w:keepNext w:val="1"/>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D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DA">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C.6 Description of strategies, activities and GANTT Chart (4500 words)</w:t>
            </w:r>
          </w:p>
          <w:p w:rsidR="00000000" w:rsidDel="00000000" w:rsidP="00000000" w:rsidRDefault="00000000" w:rsidRPr="00000000" w14:paraId="000000DC">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C.7 Human Resource /Team composition for the proposed project (1200 Words)</w:t>
            </w:r>
          </w:p>
          <w:p w:rsidR="00000000" w:rsidDel="00000000" w:rsidP="00000000" w:rsidRDefault="00000000" w:rsidRPr="00000000" w14:paraId="000000DF">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E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E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C.9 Budget</w:t>
            </w:r>
          </w:p>
        </w:tc>
        <w:tc>
          <w:tcPr>
            <w:tcBorders>
              <w:left w:color="bdd7ee" w:space="0" w:sz="6" w:val="single"/>
            </w:tcBorders>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organization is expected to indicate tentative budget as per the attached template.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C.10 Any other additional information to be submitted ( 600 Words)</w:t>
            </w:r>
          </w:p>
          <w:p w:rsidR="00000000" w:rsidDel="00000000" w:rsidP="00000000" w:rsidRDefault="00000000" w:rsidRPr="00000000" w14:paraId="000000E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E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F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F2">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F6">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F7">
      <w:pPr>
        <w:rPr>
          <w:rFonts w:ascii="Times New Roman" w:cs="Times New Roman" w:eastAsia="Times New Roman" w:hAnsi="Times New Roman"/>
          <w:sz w:val="22"/>
          <w:szCs w:val="22"/>
        </w:rPr>
      </w:pPr>
      <w:r w:rsidDel="00000000" w:rsidR="00000000" w:rsidRPr="00000000">
        <w:rPr>
          <w:rtl w:val="0"/>
        </w:rPr>
      </w:r>
    </w:p>
    <w:tbl>
      <w:tblPr>
        <w:tblStyle w:val="Table9"/>
        <w:tblW w:w="931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F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0FA">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E.0 Preliminary Screening </w:t>
            </w:r>
          </w:p>
          <w:p w:rsidR="00000000" w:rsidDel="00000000" w:rsidP="00000000" w:rsidRDefault="00000000" w:rsidRPr="00000000" w14:paraId="000000F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10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10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the organization’s PSEA capacity been assessed by a UN entity in the last 5 years?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If yes, share the assessment rating and supporting documentation with UNFPA and do not complete this section.</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Policy Requirement </w:t>
            </w:r>
          </w:p>
          <w:p w:rsidR="00000000" w:rsidDel="00000000" w:rsidP="00000000" w:rsidRDefault="00000000" w:rsidRPr="00000000" w14:paraId="000001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F">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11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1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Code of Conduct (internal or interagency)</w:t>
            </w:r>
          </w:p>
          <w:p w:rsidR="00000000" w:rsidDel="00000000" w:rsidP="00000000" w:rsidRDefault="00000000" w:rsidRPr="00000000" w14:paraId="000001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PSEA policy</w:t>
            </w:r>
          </w:p>
          <w:p w:rsidR="00000000" w:rsidDel="00000000" w:rsidP="00000000" w:rsidRDefault="00000000" w:rsidRPr="00000000" w14:paraId="000001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Documentation of standard procedures for all personnel to receive/sign PSEA policy</w:t>
            </w:r>
          </w:p>
          <w:p w:rsidR="00000000" w:rsidDel="00000000" w:rsidP="00000000" w:rsidRDefault="00000000" w:rsidRPr="00000000" w14:paraId="000001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119">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20">
            <w:pPr>
              <w:numPr>
                <w:ilvl w:val="0"/>
                <w:numId w:val="19"/>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21">
            <w:pPr>
              <w:numPr>
                <w:ilvl w:val="0"/>
                <w:numId w:val="19"/>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2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2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Reference check template including check for sexual misconduct (including reference from previous employers and self-declaration)</w:t>
            </w:r>
          </w:p>
          <w:p w:rsidR="00000000" w:rsidDel="00000000" w:rsidP="00000000" w:rsidRDefault="00000000" w:rsidRPr="00000000" w14:paraId="000001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Recruitment procedures</w:t>
            </w:r>
          </w:p>
          <w:p w:rsidR="00000000" w:rsidDel="00000000" w:rsidP="00000000" w:rsidRDefault="00000000" w:rsidRPr="00000000" w14:paraId="000001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E">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1"/>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2F">
            <w:pPr>
              <w:widowControl w:val="0"/>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0">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30">
            <w:pPr>
              <w:widowControl w:val="0"/>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31">
            <w:pPr>
              <w:widowControl w:val="0"/>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32">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Training package</w:t>
            </w:r>
          </w:p>
          <w:p w:rsidR="00000000" w:rsidDel="00000000" w:rsidP="00000000" w:rsidRDefault="00000000" w:rsidRPr="00000000" w14:paraId="000001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Attendance sheets</w:t>
            </w:r>
          </w:p>
          <w:p w:rsidR="00000000" w:rsidDel="00000000" w:rsidP="00000000" w:rsidRDefault="00000000" w:rsidRPr="00000000" w14:paraId="000001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Training certificates</w:t>
            </w:r>
          </w:p>
          <w:p w:rsidR="00000000" w:rsidDel="00000000" w:rsidP="00000000" w:rsidRDefault="00000000" w:rsidRPr="00000000" w14:paraId="000001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3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Internal Complaints and Feedback Mechanism</w:t>
            </w:r>
          </w:p>
          <w:p w:rsidR="00000000" w:rsidDel="00000000" w:rsidP="00000000" w:rsidRDefault="00000000" w:rsidRPr="00000000" w14:paraId="0000014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Participation in joint reporting mechanisms</w:t>
            </w:r>
          </w:p>
          <w:p w:rsidR="00000000" w:rsidDel="00000000" w:rsidP="00000000" w:rsidRDefault="00000000" w:rsidRPr="00000000" w14:paraId="0000014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Communication materials</w:t>
            </w:r>
          </w:p>
          <w:p w:rsidR="00000000" w:rsidDel="00000000" w:rsidP="00000000" w:rsidRDefault="00000000" w:rsidRPr="00000000" w14:paraId="0000014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PSEA awareness-raising plan</w:t>
            </w:r>
          </w:p>
          <w:p w:rsidR="00000000" w:rsidDel="00000000" w:rsidP="00000000" w:rsidRDefault="00000000" w:rsidRPr="00000000" w14:paraId="000001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Description of reporting mechanism</w:t>
            </w:r>
          </w:p>
          <w:p w:rsidR="00000000" w:rsidDel="00000000" w:rsidP="00000000" w:rsidRDefault="00000000" w:rsidRPr="00000000" w14:paraId="000001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Whistle-blower policy</w:t>
            </w:r>
          </w:p>
          <w:p w:rsidR="00000000" w:rsidDel="00000000" w:rsidP="00000000" w:rsidRDefault="00000000" w:rsidRPr="00000000" w14:paraId="000001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9">
            <w:pPr>
              <w:rPr>
                <w:rFonts w:ascii="Times New Roman" w:cs="Times New Roman" w:eastAsia="Times New Roman" w:hAnsi="Times New Roman"/>
                <w:sz w:val="22"/>
                <w:szCs w:val="22"/>
              </w:rPr>
            </w:pPr>
            <w:bookmarkStart w:colFirst="0" w:colLast="0" w:name="_heading=h.2et92p0" w:id="5"/>
            <w:bookmarkEnd w:id="5"/>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4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Internal or Interagency referral pathway</w:t>
            </w:r>
          </w:p>
          <w:p w:rsidR="00000000" w:rsidDel="00000000" w:rsidP="00000000" w:rsidRDefault="00000000" w:rsidRPr="00000000" w14:paraId="0000014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List of Available service providers</w:t>
            </w:r>
          </w:p>
          <w:p w:rsidR="00000000" w:rsidDel="00000000" w:rsidP="00000000" w:rsidRDefault="00000000" w:rsidRPr="00000000" w14:paraId="000001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Description of referral or Standard Operation Procedure (SOP)</w:t>
            </w:r>
          </w:p>
          <w:p w:rsidR="00000000" w:rsidDel="00000000" w:rsidP="00000000" w:rsidRDefault="00000000" w:rsidRPr="00000000" w14:paraId="000001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Referral form for survivors of GBV/SEA</w:t>
            </w:r>
          </w:p>
          <w:p w:rsidR="00000000" w:rsidDel="00000000" w:rsidP="00000000" w:rsidRDefault="00000000" w:rsidRPr="00000000" w14:paraId="0000015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Guidelines on victim assistance and/or training on GBV and GBV case management principles</w:t>
            </w:r>
          </w:p>
          <w:p w:rsidR="00000000" w:rsidDel="00000000" w:rsidP="00000000" w:rsidRDefault="00000000" w:rsidRPr="00000000" w14:paraId="0000015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5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5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5A">
            <w:pPr>
              <w:numPr>
                <w:ilvl w:val="0"/>
                <w:numId w:val="15"/>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5B">
            <w:pPr>
              <w:numPr>
                <w:ilvl w:val="0"/>
                <w:numId w:val="15"/>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5C">
            <w:pPr>
              <w:numPr>
                <w:ilvl w:val="0"/>
                <w:numId w:val="15"/>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5D">
            <w:pPr>
              <w:numPr>
                <w:ilvl w:val="0"/>
                <w:numId w:val="15"/>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5E">
            <w:pPr>
              <w:numPr>
                <w:ilvl w:val="0"/>
                <w:numId w:val="15"/>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5F">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6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6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62">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66">
            <w:pPr>
              <w:numPr>
                <w:ilvl w:val="0"/>
                <w:numId w:val="17"/>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67">
            <w:pPr>
              <w:numPr>
                <w:ilvl w:val="0"/>
                <w:numId w:val="17"/>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68">
            <w:pPr>
              <w:numPr>
                <w:ilvl w:val="0"/>
                <w:numId w:val="17"/>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69">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6A">
      <w:pPr>
        <w:rPr>
          <w:rFonts w:ascii="Times New Roman" w:cs="Times New Roman" w:eastAsia="Times New Roman" w:hAnsi="Times New Roman"/>
          <w:sz w:val="22"/>
          <w:szCs w:val="22"/>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Arial Bol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B">
      <w:pPr>
        <w:pBdr>
          <w:top w:space="0" w:sz="0" w:val="nil"/>
          <w:left w:space="0" w:sz="0" w:val="nil"/>
          <w:bottom w:space="0" w:sz="0" w:val="nil"/>
          <w:right w:space="0" w:sz="0" w:val="nil"/>
          <w:between w:space="0" w:sz="0" w:val="nil"/>
        </w:pBdr>
        <w:rPr>
          <w:i w:val="1"/>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i w:val="1"/>
          <w:color w:val="000000"/>
          <w:rtl w:val="0"/>
        </w:rPr>
        <w:t xml:space="preserve">Comprehensive SRH services is defined as 24*7 delivery, CAC, 5 reversible contraceptives RTI/ STI Management, GBV response to health services in facilities (DH, SDH, CHC and 24X7 PHCs)</w:t>
      </w:r>
    </w:p>
  </w:footnote>
  <w:footnote w:id="1">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b w:val="1"/>
        <w:i w:val="0"/>
      </w:rPr>
    </w:lvl>
    <w:lvl w:ilvl="1">
      <w:start w:val="1"/>
      <w:numFmt w:val="decimal"/>
      <w:lvlText w:val="%1.%2."/>
      <w:lvlJc w:val="left"/>
      <w:pPr>
        <w:ind w:left="360" w:hanging="360"/>
      </w:pPr>
      <w:rPr>
        <w:rFonts w:ascii="Calibri" w:cs="Calibri" w:eastAsia="Calibri" w:hAnsi="Calibri"/>
        <w:b w:val="0"/>
        <w:i w:val="1"/>
        <w:color w:val="0070c0"/>
      </w:rPr>
    </w:lvl>
    <w:lvl w:ilvl="2">
      <w:start w:val="1"/>
      <w:numFmt w:val="decimal"/>
      <w:lvlText w:val="%1.%2.%3."/>
      <w:lvlJc w:val="left"/>
      <w:pPr>
        <w:ind w:left="720" w:hanging="720"/>
      </w:pPr>
      <w:rPr>
        <w:rFonts w:ascii="Calibri" w:cs="Calibri" w:eastAsia="Calibri" w:hAnsi="Calibri"/>
        <w:b w:val="1"/>
        <w:i w:val="0"/>
        <w:color w:val="000000"/>
      </w:rPr>
    </w:lvl>
    <w:lvl w:ilvl="3">
      <w:start w:val="1"/>
      <w:numFmt w:val="decimal"/>
      <w:lvlText w:val="%1.%2.%3.%4."/>
      <w:lvlJc w:val="left"/>
      <w:pPr>
        <w:ind w:left="720" w:hanging="720"/>
      </w:pPr>
      <w:rPr>
        <w:rFonts w:ascii="Calibri" w:cs="Calibri" w:eastAsia="Calibri" w:hAnsi="Calibri"/>
        <w:b w:val="1"/>
        <w:i w:val="0"/>
        <w:color w:val="000000"/>
      </w:rPr>
    </w:lvl>
    <w:lvl w:ilvl="4">
      <w:start w:val="1"/>
      <w:numFmt w:val="decimal"/>
      <w:lvlText w:val="%1.%2.%3.%4.%5."/>
      <w:lvlJc w:val="left"/>
      <w:pPr>
        <w:ind w:left="1080" w:hanging="1080"/>
      </w:pPr>
      <w:rPr>
        <w:rFonts w:ascii="Calibri" w:cs="Calibri" w:eastAsia="Calibri" w:hAnsi="Calibri"/>
        <w:b w:val="1"/>
        <w:i w:val="0"/>
        <w:color w:val="000000"/>
      </w:rPr>
    </w:lvl>
    <w:lvl w:ilvl="5">
      <w:start w:val="1"/>
      <w:numFmt w:val="decimal"/>
      <w:lvlText w:val="%1.%2.%3.%4.%5.%6."/>
      <w:lvlJc w:val="left"/>
      <w:pPr>
        <w:ind w:left="1080" w:hanging="1080"/>
      </w:pPr>
      <w:rPr>
        <w:rFonts w:ascii="Calibri" w:cs="Calibri" w:eastAsia="Calibri" w:hAnsi="Calibri"/>
        <w:b w:val="1"/>
        <w:i w:val="0"/>
        <w:color w:val="000000"/>
      </w:rPr>
    </w:lvl>
    <w:lvl w:ilvl="6">
      <w:start w:val="1"/>
      <w:numFmt w:val="decimal"/>
      <w:lvlText w:val="%1.%2.%3.%4.%5.%6.%7."/>
      <w:lvlJc w:val="left"/>
      <w:pPr>
        <w:ind w:left="1440" w:hanging="1440"/>
      </w:pPr>
      <w:rPr>
        <w:rFonts w:ascii="Calibri" w:cs="Calibri" w:eastAsia="Calibri" w:hAnsi="Calibri"/>
        <w:b w:val="1"/>
        <w:i w:val="0"/>
        <w:color w:val="000000"/>
      </w:rPr>
    </w:lvl>
    <w:lvl w:ilvl="7">
      <w:start w:val="1"/>
      <w:numFmt w:val="decimal"/>
      <w:lvlText w:val="%1.%2.%3.%4.%5.%6.%7.%8."/>
      <w:lvlJc w:val="left"/>
      <w:pPr>
        <w:ind w:left="1440" w:hanging="1440"/>
      </w:pPr>
      <w:rPr>
        <w:rFonts w:ascii="Calibri" w:cs="Calibri" w:eastAsia="Calibri" w:hAnsi="Calibri"/>
        <w:b w:val="1"/>
        <w:i w:val="0"/>
        <w:color w:val="000000"/>
      </w:rPr>
    </w:lvl>
    <w:lvl w:ilvl="8">
      <w:start w:val="1"/>
      <w:numFmt w:val="decimal"/>
      <w:lvlText w:val="%1.%2.%3.%4.%5.%6.%7.%8.%9."/>
      <w:lvlJc w:val="left"/>
      <w:pPr>
        <w:ind w:left="1800" w:hanging="1800"/>
      </w:pPr>
      <w:rPr>
        <w:rFonts w:ascii="Calibri" w:cs="Calibri" w:eastAsia="Calibri" w:hAnsi="Calibri"/>
        <w:b w:val="1"/>
        <w:i w:val="0"/>
        <w:color w:val="00000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360" w:hanging="360"/>
      </w:pPr>
      <w:rPr>
        <w:b w:val="1"/>
      </w:rPr>
    </w:lvl>
    <w:lvl w:ilvl="1">
      <w:start w:val="1"/>
      <w:numFmt w:val="upperLetter"/>
      <w:lvlText w:val="%2."/>
      <w:lvlJc w:val="left"/>
      <w:pPr>
        <w:ind w:left="360" w:hanging="360"/>
      </w:pPr>
      <w:rPr>
        <w:b w:val="0"/>
        <w:i w:val="0"/>
        <w:color w:val="000000"/>
        <w:shd w:fill="auto" w:val="clear"/>
      </w:rPr>
    </w:lvl>
    <w:lvl w:ilvl="2">
      <w:start w:val="1"/>
      <w:numFmt w:val="decimal"/>
      <w:lvlText w:val="%1.%2.%3."/>
      <w:lvlJc w:val="left"/>
      <w:pPr>
        <w:ind w:left="720" w:hanging="720"/>
      </w:pPr>
      <w:rPr>
        <w:rFonts w:ascii="Calibri" w:cs="Calibri" w:eastAsia="Calibri" w:hAnsi="Calibri"/>
        <w:b w:val="1"/>
        <w:i w:val="0"/>
        <w:color w:val="000000"/>
      </w:rPr>
    </w:lvl>
    <w:lvl w:ilvl="3">
      <w:start w:val="1"/>
      <w:numFmt w:val="decimal"/>
      <w:lvlText w:val="%1.%2.%3.%4."/>
      <w:lvlJc w:val="left"/>
      <w:pPr>
        <w:ind w:left="720" w:hanging="720"/>
      </w:pPr>
      <w:rPr>
        <w:rFonts w:ascii="Calibri" w:cs="Calibri" w:eastAsia="Calibri" w:hAnsi="Calibri"/>
        <w:b w:val="1"/>
        <w:i w:val="0"/>
        <w:color w:val="000000"/>
      </w:rPr>
    </w:lvl>
    <w:lvl w:ilvl="4">
      <w:start w:val="1"/>
      <w:numFmt w:val="decimal"/>
      <w:lvlText w:val="%1.%2.%3.%4.%5."/>
      <w:lvlJc w:val="left"/>
      <w:pPr>
        <w:ind w:left="1080" w:hanging="1080"/>
      </w:pPr>
      <w:rPr>
        <w:rFonts w:ascii="Calibri" w:cs="Calibri" w:eastAsia="Calibri" w:hAnsi="Calibri"/>
        <w:b w:val="1"/>
        <w:i w:val="0"/>
        <w:color w:val="000000"/>
      </w:rPr>
    </w:lvl>
    <w:lvl w:ilvl="5">
      <w:start w:val="1"/>
      <w:numFmt w:val="decimal"/>
      <w:lvlText w:val="%1.%2.%3.%4.%5.%6."/>
      <w:lvlJc w:val="left"/>
      <w:pPr>
        <w:ind w:left="1080" w:hanging="1080"/>
      </w:pPr>
      <w:rPr>
        <w:rFonts w:ascii="Calibri" w:cs="Calibri" w:eastAsia="Calibri" w:hAnsi="Calibri"/>
        <w:b w:val="1"/>
        <w:i w:val="0"/>
        <w:color w:val="000000"/>
      </w:rPr>
    </w:lvl>
    <w:lvl w:ilvl="6">
      <w:start w:val="1"/>
      <w:numFmt w:val="decimal"/>
      <w:lvlText w:val="%1.%2.%3.%4.%5.%6.%7."/>
      <w:lvlJc w:val="left"/>
      <w:pPr>
        <w:ind w:left="1440" w:hanging="1440"/>
      </w:pPr>
      <w:rPr>
        <w:rFonts w:ascii="Calibri" w:cs="Calibri" w:eastAsia="Calibri" w:hAnsi="Calibri"/>
        <w:b w:val="1"/>
        <w:i w:val="0"/>
        <w:color w:val="000000"/>
      </w:rPr>
    </w:lvl>
    <w:lvl w:ilvl="7">
      <w:start w:val="1"/>
      <w:numFmt w:val="decimal"/>
      <w:lvlText w:val="%1.%2.%3.%4.%5.%6.%7.%8."/>
      <w:lvlJc w:val="left"/>
      <w:pPr>
        <w:ind w:left="1440" w:hanging="1440"/>
      </w:pPr>
      <w:rPr>
        <w:rFonts w:ascii="Calibri" w:cs="Calibri" w:eastAsia="Calibri" w:hAnsi="Calibri"/>
        <w:b w:val="1"/>
        <w:i w:val="0"/>
        <w:color w:val="000000"/>
      </w:rPr>
    </w:lvl>
    <w:lvl w:ilvl="8">
      <w:start w:val="1"/>
      <w:numFmt w:val="decimal"/>
      <w:lvlText w:val="%1.%2.%3.%4.%5.%6.%7.%8.%9."/>
      <w:lvlJc w:val="left"/>
      <w:pPr>
        <w:ind w:left="1800" w:hanging="1800"/>
      </w:pPr>
      <w:rPr>
        <w:rFonts w:ascii="Calibri" w:cs="Calibri" w:eastAsia="Calibri" w:hAnsi="Calibri"/>
        <w:b w:val="1"/>
        <w:i w:val="0"/>
        <w:color w:val="00000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low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360" w:hanging="360"/>
      </w:pPr>
      <w:rPr>
        <w:rFonts w:ascii="Noto Sans Symbols" w:cs="Noto Sans Symbols" w:eastAsia="Noto Sans Symbols" w:hAnsi="Noto Sans Symbols"/>
        <w:b w:val="1"/>
        <w:i w:val="0"/>
      </w:rPr>
    </w:lvl>
    <w:lvl w:ilvl="1">
      <w:start w:val="1"/>
      <w:numFmt w:val="decimal"/>
      <w:lvlText w:val="●.%2."/>
      <w:lvlJc w:val="left"/>
      <w:pPr>
        <w:ind w:left="360" w:hanging="360"/>
      </w:pPr>
      <w:rPr>
        <w:rFonts w:ascii="Calibri" w:cs="Calibri" w:eastAsia="Calibri" w:hAnsi="Calibri"/>
        <w:b w:val="0"/>
        <w:i w:val="1"/>
        <w:color w:val="0070c0"/>
      </w:rPr>
    </w:lvl>
    <w:lvl w:ilvl="2">
      <w:start w:val="1"/>
      <w:numFmt w:val="decimal"/>
      <w:lvlText w:val="●.%2.%3."/>
      <w:lvlJc w:val="left"/>
      <w:pPr>
        <w:ind w:left="720" w:hanging="720"/>
      </w:pPr>
      <w:rPr>
        <w:rFonts w:ascii="Calibri" w:cs="Calibri" w:eastAsia="Calibri" w:hAnsi="Calibri"/>
        <w:b w:val="1"/>
        <w:i w:val="0"/>
        <w:color w:val="000000"/>
      </w:rPr>
    </w:lvl>
    <w:lvl w:ilvl="3">
      <w:start w:val="1"/>
      <w:numFmt w:val="decimal"/>
      <w:lvlText w:val="●.%2.%3.%4."/>
      <w:lvlJc w:val="left"/>
      <w:pPr>
        <w:ind w:left="720" w:hanging="720"/>
      </w:pPr>
      <w:rPr>
        <w:rFonts w:ascii="Calibri" w:cs="Calibri" w:eastAsia="Calibri" w:hAnsi="Calibri"/>
        <w:b w:val="1"/>
        <w:i w:val="0"/>
        <w:color w:val="000000"/>
      </w:rPr>
    </w:lvl>
    <w:lvl w:ilvl="4">
      <w:start w:val="1"/>
      <w:numFmt w:val="decimal"/>
      <w:lvlText w:val="●.%2.%3.%4.%5."/>
      <w:lvlJc w:val="left"/>
      <w:pPr>
        <w:ind w:left="1080" w:hanging="1080"/>
      </w:pPr>
      <w:rPr>
        <w:rFonts w:ascii="Calibri" w:cs="Calibri" w:eastAsia="Calibri" w:hAnsi="Calibri"/>
        <w:b w:val="1"/>
        <w:i w:val="0"/>
        <w:color w:val="000000"/>
      </w:rPr>
    </w:lvl>
    <w:lvl w:ilvl="5">
      <w:start w:val="1"/>
      <w:numFmt w:val="decimal"/>
      <w:lvlText w:val="●.%2.%3.%4.%5.%6."/>
      <w:lvlJc w:val="left"/>
      <w:pPr>
        <w:ind w:left="1080" w:hanging="1080"/>
      </w:pPr>
      <w:rPr>
        <w:rFonts w:ascii="Calibri" w:cs="Calibri" w:eastAsia="Calibri" w:hAnsi="Calibri"/>
        <w:b w:val="1"/>
        <w:i w:val="0"/>
        <w:color w:val="000000"/>
      </w:rPr>
    </w:lvl>
    <w:lvl w:ilvl="6">
      <w:start w:val="1"/>
      <w:numFmt w:val="decimal"/>
      <w:lvlText w:val="●.%2.%3.%4.%5.%6.%7."/>
      <w:lvlJc w:val="left"/>
      <w:pPr>
        <w:ind w:left="1440" w:hanging="1440"/>
      </w:pPr>
      <w:rPr>
        <w:rFonts w:ascii="Calibri" w:cs="Calibri" w:eastAsia="Calibri" w:hAnsi="Calibri"/>
        <w:b w:val="1"/>
        <w:i w:val="0"/>
        <w:color w:val="000000"/>
      </w:rPr>
    </w:lvl>
    <w:lvl w:ilvl="7">
      <w:start w:val="1"/>
      <w:numFmt w:val="decimal"/>
      <w:lvlText w:val="●.%2.%3.%4.%5.%6.%7.%8."/>
      <w:lvlJc w:val="left"/>
      <w:pPr>
        <w:ind w:left="1440" w:hanging="1440"/>
      </w:pPr>
      <w:rPr>
        <w:rFonts w:ascii="Calibri" w:cs="Calibri" w:eastAsia="Calibri" w:hAnsi="Calibri"/>
        <w:b w:val="1"/>
        <w:i w:val="0"/>
        <w:color w:val="000000"/>
      </w:rPr>
    </w:lvl>
    <w:lvl w:ilvl="8">
      <w:start w:val="1"/>
      <w:numFmt w:val="decimal"/>
      <w:lvlText w:val="●.%2.%3.%4.%5.%6.%7.%8.%9."/>
      <w:lvlJc w:val="left"/>
      <w:pPr>
        <w:ind w:left="1800" w:hanging="1800"/>
      </w:pPr>
      <w:rPr>
        <w:rFonts w:ascii="Calibri" w:cs="Calibri" w:eastAsia="Calibri" w:hAnsi="Calibri"/>
        <w:b w:val="1"/>
        <w:i w:val="0"/>
        <w:color w:val="00000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low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lowerRoman"/>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lowerRoman"/>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lowerRoman"/>
      <w:lvlText w:val="%1)"/>
      <w:lvlJc w:val="left"/>
      <w:pPr>
        <w:ind w:left="360" w:hanging="360"/>
      </w:pPr>
      <w:rPr>
        <w:b w:val="0"/>
        <w:sz w:val="22"/>
        <w:szCs w:val="22"/>
      </w:rPr>
    </w:lvl>
    <w:lvl w:ilvl="1">
      <w:start w:val="1"/>
      <w:numFmt w:val="decimal"/>
      <w:lvlText w:val="%1.%2."/>
      <w:lvlJc w:val="left"/>
      <w:pPr>
        <w:ind w:left="360" w:hanging="360"/>
      </w:pPr>
      <w:rPr>
        <w:rFonts w:ascii="Calibri" w:cs="Calibri" w:eastAsia="Calibri" w:hAnsi="Calibri"/>
        <w:b w:val="0"/>
        <w:i w:val="1"/>
        <w:color w:val="0070c0"/>
      </w:rPr>
    </w:lvl>
    <w:lvl w:ilvl="2">
      <w:start w:val="1"/>
      <w:numFmt w:val="decimal"/>
      <w:lvlText w:val="%1.%2.%3."/>
      <w:lvlJc w:val="left"/>
      <w:pPr>
        <w:ind w:left="720" w:hanging="720"/>
      </w:pPr>
      <w:rPr>
        <w:rFonts w:ascii="Calibri" w:cs="Calibri" w:eastAsia="Calibri" w:hAnsi="Calibri"/>
        <w:b w:val="1"/>
        <w:i w:val="0"/>
        <w:color w:val="000000"/>
      </w:rPr>
    </w:lvl>
    <w:lvl w:ilvl="3">
      <w:start w:val="1"/>
      <w:numFmt w:val="decimal"/>
      <w:lvlText w:val="%1.%2.%3.%4."/>
      <w:lvlJc w:val="left"/>
      <w:pPr>
        <w:ind w:left="720" w:hanging="720"/>
      </w:pPr>
      <w:rPr>
        <w:rFonts w:ascii="Calibri" w:cs="Calibri" w:eastAsia="Calibri" w:hAnsi="Calibri"/>
        <w:b w:val="1"/>
        <w:i w:val="0"/>
        <w:color w:val="000000"/>
      </w:rPr>
    </w:lvl>
    <w:lvl w:ilvl="4">
      <w:start w:val="1"/>
      <w:numFmt w:val="decimal"/>
      <w:lvlText w:val="%1.%2.%3.%4.%5."/>
      <w:lvlJc w:val="left"/>
      <w:pPr>
        <w:ind w:left="1080" w:hanging="1080"/>
      </w:pPr>
      <w:rPr>
        <w:rFonts w:ascii="Calibri" w:cs="Calibri" w:eastAsia="Calibri" w:hAnsi="Calibri"/>
        <w:b w:val="1"/>
        <w:i w:val="0"/>
        <w:color w:val="000000"/>
      </w:rPr>
    </w:lvl>
    <w:lvl w:ilvl="5">
      <w:start w:val="1"/>
      <w:numFmt w:val="decimal"/>
      <w:lvlText w:val="%1.%2.%3.%4.%5.%6."/>
      <w:lvlJc w:val="left"/>
      <w:pPr>
        <w:ind w:left="1080" w:hanging="1080"/>
      </w:pPr>
      <w:rPr>
        <w:rFonts w:ascii="Calibri" w:cs="Calibri" w:eastAsia="Calibri" w:hAnsi="Calibri"/>
        <w:b w:val="1"/>
        <w:i w:val="0"/>
        <w:color w:val="000000"/>
      </w:rPr>
    </w:lvl>
    <w:lvl w:ilvl="6">
      <w:start w:val="1"/>
      <w:numFmt w:val="decimal"/>
      <w:lvlText w:val="%1.%2.%3.%4.%5.%6.%7."/>
      <w:lvlJc w:val="left"/>
      <w:pPr>
        <w:ind w:left="1440" w:hanging="1440"/>
      </w:pPr>
      <w:rPr>
        <w:rFonts w:ascii="Calibri" w:cs="Calibri" w:eastAsia="Calibri" w:hAnsi="Calibri"/>
        <w:b w:val="1"/>
        <w:i w:val="0"/>
        <w:color w:val="000000"/>
      </w:rPr>
    </w:lvl>
    <w:lvl w:ilvl="7">
      <w:start w:val="1"/>
      <w:numFmt w:val="decimal"/>
      <w:lvlText w:val="%1.%2.%3.%4.%5.%6.%7.%8."/>
      <w:lvlJc w:val="left"/>
      <w:pPr>
        <w:ind w:left="1440" w:hanging="1440"/>
      </w:pPr>
      <w:rPr>
        <w:rFonts w:ascii="Calibri" w:cs="Calibri" w:eastAsia="Calibri" w:hAnsi="Calibri"/>
        <w:b w:val="1"/>
        <w:i w:val="0"/>
        <w:color w:val="000000"/>
      </w:rPr>
    </w:lvl>
    <w:lvl w:ilvl="8">
      <w:start w:val="1"/>
      <w:numFmt w:val="decimal"/>
      <w:lvlText w:val="%1.%2.%3.%4.%5.%6.%7.%8.%9."/>
      <w:lvlJc w:val="left"/>
      <w:pPr>
        <w:ind w:left="1800" w:hanging="1800"/>
      </w:pPr>
      <w:rPr>
        <w:rFonts w:ascii="Calibri" w:cs="Calibri" w:eastAsia="Calibri" w:hAnsi="Calibri"/>
        <w:b w:val="1"/>
        <w:i w:val="0"/>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Revision">
    <w:name w:val="Revision"/>
    <w:hidden w:val="1"/>
    <w:uiPriority w:val="99"/>
    <w:semiHidden w:val="1"/>
    <w:rsid w:val="00844270"/>
  </w:style>
  <w:style w:type="character" w:styleId="FootnoteReference">
    <w:name w:val="footnote reference"/>
    <w:basedOn w:val="DefaultParagraphFont"/>
    <w:uiPriority w:val="99"/>
    <w:semiHidden w:val="1"/>
    <w:unhideWhenUsed w:val="1"/>
    <w:rsid w:val="007A1890"/>
    <w:rPr>
      <w:vertAlign w:val="superscript"/>
    </w:rPr>
  </w:style>
  <w:style w:type="paragraph" w:styleId="APECFormHeadingA" w:customStyle="1">
    <w:name w:val="APEC Form Heading A."/>
    <w:basedOn w:val="Normal"/>
    <w:qFormat w:val="1"/>
    <w:rsid w:val="007A1890"/>
    <w:pPr>
      <w:numPr>
        <w:numId w:val="30"/>
      </w:numPr>
      <w:tabs>
        <w:tab w:val="left" w:pos="360"/>
        <w:tab w:val="left" w:pos="5760"/>
      </w:tabs>
      <w:spacing w:after="120" w:before="60" w:line="300" w:lineRule="atLeast"/>
    </w:pPr>
    <w:rPr>
      <w:rFonts w:cs="Times New Roman" w:eastAsia="PMingLiU"/>
      <w:b w:val="1"/>
      <w:bCs w:val="1"/>
      <w:szCs w:val="22"/>
      <w:lang w:eastAsia="en-IN"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undocs.org/ST/SGB/2003/1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partnerportal.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fpa.org/sites/default/files/admin-resource/Working_with_UNFPA_Key_information_for_IP_on_PSEA_Assessment_Nov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w2aJG18HOO9M2tJRlUDvCMQCzA==">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2022-08-26T04:21:00Z</dcterms:created>
  <dc:creator>Nicole Kim</dc:creator>
</cp:coreProperties>
</file>