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w:t>
            </w:r>
            <w:r w:rsidDel="00000000" w:rsidR="00000000" w:rsidRPr="00000000">
              <w:rPr>
                <w:rFonts w:ascii="Times New Roman" w:cs="Times New Roman" w:eastAsia="Times New Roman" w:hAnsi="Times New Roman"/>
                <w:b w:val="1"/>
                <w:sz w:val="24"/>
                <w:szCs w:val="24"/>
                <w:rtl w:val="0"/>
              </w:rPr>
              <w:t xml:space="preserve">Empowering young people with life skills education and promoting youth leadership and participation in Madhya Pradesh</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UNFPA India Country Office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bids.india@unfpa.org</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 23:59 hours IST.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14th October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 before the deadline for submission of proposals.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 (250 Words)</w:t>
            </w:r>
          </w:p>
        </w:tc>
        <w:tc>
          <w:tcPr>
            <w:tcBorders>
              <w:left w:color="bdd7ee" w:space="0" w:sz="6" w:val="single"/>
            </w:tcBorders>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India Country Office, UNFPA works with the government and other partners to achieve the overall goal of the 2023-2027 DP/FPA/CPD/IND/10.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w:t>
            </w:r>
          </w:p>
          <w:p w:rsidR="00000000" w:rsidDel="00000000" w:rsidP="00000000" w:rsidRDefault="00000000" w:rsidRPr="00000000" w14:paraId="0000002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6">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t>
            </w:r>
          </w:p>
          <w:p w:rsidR="00000000" w:rsidDel="00000000" w:rsidP="00000000" w:rsidRDefault="00000000" w:rsidRPr="00000000" w14:paraId="00000027">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continuing to retain focus in the states of Bihar, Madhya Pradesh, Odisha and Rajasthan, the 10th country programme will scale up efforts and drive accelerated progress towards the three transformative results. In Madhya Pradesh, UNFPA has forged partnerships with the Department of School Education, Department of Medical and Health and Directorate of Skill Development to empower adolescents and young people. UNFPA is the lead partner in the roll out of Umang School Health and Wellness Programme and life skills education programme in the schools and Industrial Training Institutes. UNFPA’s partnership with the Department of School Education was instrumental in rolling out a helpline for the adolescents in the school settings to increase the access for psychosocial services.</w:t>
            </w:r>
          </w:p>
          <w:p w:rsidR="00000000" w:rsidDel="00000000" w:rsidP="00000000" w:rsidRDefault="00000000" w:rsidRPr="00000000" w14:paraId="00000028">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looking to partner with experienced and credible organizations to implement the ambitious agenda envisaged in the 10th country programme.  </w:t>
            </w:r>
            <w:r w:rsidDel="00000000" w:rsidR="00000000" w:rsidRPr="00000000">
              <w:rPr>
                <w:rFonts w:ascii="Times New Roman" w:cs="Times New Roman" w:eastAsia="Times New Roman" w:hAnsi="Times New Roman"/>
                <w:b w:val="1"/>
                <w:i w:val="1"/>
                <w:sz w:val="24"/>
                <w:szCs w:val="24"/>
                <w:rtl w:val="0"/>
              </w:rPr>
              <w:t xml:space="preserve">This Invitation for Proposal (IFP) from suitable NGOs is for implementing a multi-pronged approach on “</w:t>
            </w:r>
            <w:r w:rsidDel="00000000" w:rsidR="00000000" w:rsidRPr="00000000">
              <w:rPr>
                <w:rFonts w:ascii="Times New Roman" w:cs="Times New Roman" w:eastAsia="Times New Roman" w:hAnsi="Times New Roman"/>
                <w:b w:val="1"/>
                <w:sz w:val="24"/>
                <w:szCs w:val="24"/>
                <w:rtl w:val="0"/>
              </w:rPr>
              <w:t xml:space="preserve">Empowering young people with life skills education and promoting youth leadership and participation</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120" w:before="12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color w:val="212121"/>
                <w:sz w:val="24"/>
                <w:szCs w:val="24"/>
                <w:u w:val="single"/>
              </w:rPr>
            </w:pPr>
            <w:r w:rsidDel="00000000" w:rsidR="00000000" w:rsidRPr="00000000">
              <w:rPr>
                <w:rFonts w:ascii="Times New Roman" w:cs="Times New Roman" w:eastAsia="Times New Roman" w:hAnsi="Times New Roman"/>
                <w:b w:val="1"/>
                <w:color w:val="212121"/>
                <w:sz w:val="24"/>
                <w:szCs w:val="24"/>
                <w:u w:val="single"/>
                <w:rtl w:val="0"/>
              </w:rPr>
              <w:t xml:space="preserve">Overall Objective </w:t>
            </w:r>
          </w:p>
          <w:p w:rsidR="00000000" w:rsidDel="00000000" w:rsidP="00000000" w:rsidRDefault="00000000" w:rsidRPr="00000000" w14:paraId="0000002B">
            <w:pPr>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The overall objective of the project is to increase skills and opportunities for adolescents and young people in Madhya Pradesh, particularly adolescent girls from the furthest left behind populations, to ensure their right to bodily autonomy, leadership, and participation</w:t>
            </w:r>
          </w:p>
          <w:p w:rsidR="00000000" w:rsidDel="00000000" w:rsidP="00000000" w:rsidRDefault="00000000" w:rsidRPr="00000000" w14:paraId="0000002C">
            <w:pPr>
              <w:jc w:val="both"/>
              <w:rPr>
                <w:rFonts w:ascii="Times New Roman" w:cs="Times New Roman" w:eastAsia="Times New Roman" w:hAnsi="Times New Roman"/>
                <w:b w:val="1"/>
                <w:color w:val="212121"/>
                <w:sz w:val="24"/>
                <w:szCs w:val="24"/>
                <w:u w:val="single"/>
              </w:rPr>
            </w:pPr>
            <w:r w:rsidDel="00000000" w:rsidR="00000000" w:rsidRPr="00000000">
              <w:rPr>
                <w:rFonts w:ascii="Times New Roman" w:cs="Times New Roman" w:eastAsia="Times New Roman" w:hAnsi="Times New Roman"/>
                <w:b w:val="1"/>
                <w:color w:val="212121"/>
                <w:sz w:val="24"/>
                <w:szCs w:val="24"/>
                <w:u w:val="single"/>
                <w:rtl w:val="0"/>
              </w:rPr>
              <w:t xml:space="preserve">Specific Objectives </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empower adolescents and young people with life skills in various settings, i.e., Schools, Industrial Training Institutes, and community, to enable them to make informed decisions for better health, sexual and reproductive health, and well-being.</w:t>
            </w:r>
            <w:r w:rsidDel="00000000" w:rsidR="00000000" w:rsidRPr="00000000">
              <w:rPr>
                <w:rtl w:val="0"/>
              </w:rPr>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enhance information and services for adolescents and young people by strengthening large sector programmes with focus on youth leadership and participation</w:t>
            </w:r>
            <w:r w:rsidDel="00000000" w:rsidR="00000000" w:rsidRPr="00000000">
              <w:rPr>
                <w:rtl w:val="0"/>
              </w:rPr>
            </w:r>
          </w:p>
          <w:p w:rsidR="00000000" w:rsidDel="00000000" w:rsidP="00000000" w:rsidRDefault="00000000" w:rsidRPr="00000000" w14:paraId="0000002F">
            <w:pPr>
              <w:numPr>
                <w:ilvl w:val="0"/>
                <w:numId w:val="9"/>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engage men and boys to promote responsible gender-sensitive behaviour and promote positive masculinity in the school and community settings</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Scope of work </w:t>
            </w:r>
          </w:p>
          <w:p w:rsidR="00000000" w:rsidDel="00000000" w:rsidP="00000000" w:rsidRDefault="00000000" w:rsidRPr="00000000" w14:paraId="00000032">
            <w:pPr>
              <w:jc w:val="both"/>
              <w:rPr>
                <w:rFonts w:ascii="Times New Roman" w:cs="Times New Roman" w:eastAsia="Times New Roman" w:hAnsi="Times New Roman"/>
                <w:b w:val="1"/>
                <w:color w:val="212121"/>
                <w:sz w:val="24"/>
                <w:szCs w:val="24"/>
                <w:u w:val="single"/>
              </w:rPr>
            </w:pPr>
            <w:r w:rsidDel="00000000" w:rsidR="00000000" w:rsidRPr="00000000">
              <w:rPr>
                <w:rFonts w:ascii="Times New Roman" w:cs="Times New Roman" w:eastAsia="Times New Roman" w:hAnsi="Times New Roman"/>
                <w:color w:val="212121"/>
                <w:sz w:val="24"/>
                <w:szCs w:val="24"/>
                <w:u w:val="single"/>
                <w:rtl w:val="0"/>
              </w:rPr>
              <w:t xml:space="preserve">Enhancing Life Skills Education </w:t>
            </w:r>
            <w:r w:rsidDel="00000000" w:rsidR="00000000" w:rsidRPr="00000000">
              <w:rPr>
                <w:rtl w:val="0"/>
              </w:rPr>
            </w:r>
          </w:p>
          <w:p w:rsidR="00000000" w:rsidDel="00000000" w:rsidP="00000000" w:rsidRDefault="00000000" w:rsidRPr="00000000" w14:paraId="00000033">
            <w:pPr>
              <w:numPr>
                <w:ilvl w:val="0"/>
                <w:numId w:val="1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Provide technical support in planning, implementing, and monitoring of the life skills education  (LSE) programme implemented as part of School Health and Wellness programme and ITI training institutes throughout the State</w:t>
            </w:r>
            <w:r w:rsidDel="00000000" w:rsidR="00000000" w:rsidRPr="00000000">
              <w:rPr>
                <w:rtl w:val="0"/>
              </w:rPr>
            </w:r>
          </w:p>
          <w:p w:rsidR="00000000" w:rsidDel="00000000" w:rsidP="00000000" w:rsidRDefault="00000000" w:rsidRPr="00000000" w14:paraId="00000034">
            <w:pPr>
              <w:numPr>
                <w:ilvl w:val="0"/>
                <w:numId w:val="1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Anchor capacity building of teachers to roll out the School Health and Wellness programme and training officers of ITIs respectively through development of a pool of master trainers using both traditional and technology-based methods</w:t>
            </w:r>
            <w:r w:rsidDel="00000000" w:rsidR="00000000" w:rsidRPr="00000000">
              <w:rPr>
                <w:rtl w:val="0"/>
              </w:rPr>
            </w:r>
          </w:p>
          <w:p w:rsidR="00000000" w:rsidDel="00000000" w:rsidP="00000000" w:rsidRDefault="00000000" w:rsidRPr="00000000" w14:paraId="00000035">
            <w:pPr>
              <w:numPr>
                <w:ilvl w:val="0"/>
                <w:numId w:val="1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Develop and roll out a mentoring mechanism to provide supporting supervision for teachers to effectively deliver LSE curriculum in school settings</w:t>
            </w:r>
            <w:r w:rsidDel="00000000" w:rsidR="00000000" w:rsidRPr="00000000">
              <w:rPr>
                <w:rtl w:val="0"/>
              </w:rPr>
            </w:r>
          </w:p>
          <w:p w:rsidR="00000000" w:rsidDel="00000000" w:rsidP="00000000" w:rsidRDefault="00000000" w:rsidRPr="00000000" w14:paraId="00000036">
            <w:pPr>
              <w:numPr>
                <w:ilvl w:val="0"/>
                <w:numId w:val="1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Develop knowledge products and resource materials to aid transaction of curriculum in school settings.</w:t>
            </w:r>
            <w:r w:rsidDel="00000000" w:rsidR="00000000" w:rsidRPr="00000000">
              <w:rPr>
                <w:rtl w:val="0"/>
              </w:rPr>
            </w:r>
          </w:p>
          <w:p w:rsidR="00000000" w:rsidDel="00000000" w:rsidP="00000000" w:rsidRDefault="00000000" w:rsidRPr="00000000" w14:paraId="00000037">
            <w:pPr>
              <w:numPr>
                <w:ilvl w:val="0"/>
                <w:numId w:val="1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Contribute to strengthening systems within the Directorate of Skill Development department to institutionalize LSE in all government ITIs</w:t>
            </w:r>
            <w:r w:rsidDel="00000000" w:rsidR="00000000" w:rsidRPr="00000000">
              <w:rPr>
                <w:rtl w:val="0"/>
              </w:rPr>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Strengthen implementation of life skills education programme in community settings through peer educators of the RKSK programme in twenty-one districts </w:t>
            </w:r>
            <w:r w:rsidDel="00000000" w:rsidR="00000000" w:rsidRPr="00000000">
              <w:rPr>
                <w:rtl w:val="0"/>
              </w:rPr>
            </w:r>
          </w:p>
          <w:p w:rsidR="00000000" w:rsidDel="00000000" w:rsidP="00000000" w:rsidRDefault="00000000" w:rsidRPr="00000000" w14:paraId="00000039">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Indicative Deliverables :</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pacing w:line="259"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implementation of LSE programme implemented through SHWP and ITIs</w:t>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pacing w:line="259"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implementation of LSE programme through community based platforms in 21 districts</w:t>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pacing w:line="259"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Mentoring mechanisms for teachers to deliver LSE curriculum in school settings developed and rolled out.</w:t>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pacing w:line="259"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plan and capacities developed to institutionalize LSE in ITIs</w:t>
            </w:r>
          </w:p>
          <w:p w:rsidR="00000000" w:rsidDel="00000000" w:rsidP="00000000" w:rsidRDefault="00000000" w:rsidRPr="00000000" w14:paraId="0000003E">
            <w:pPr>
              <w:ind w:firstLine="72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color w:val="212121"/>
                <w:sz w:val="24"/>
                <w:szCs w:val="24"/>
                <w:u w:val="single"/>
              </w:rPr>
            </w:pPr>
            <w:r w:rsidDel="00000000" w:rsidR="00000000" w:rsidRPr="00000000">
              <w:rPr>
                <w:rFonts w:ascii="Times New Roman" w:cs="Times New Roman" w:eastAsia="Times New Roman" w:hAnsi="Times New Roman"/>
                <w:color w:val="212121"/>
                <w:sz w:val="24"/>
                <w:szCs w:val="24"/>
                <w:u w:val="single"/>
                <w:rtl w:val="0"/>
              </w:rPr>
              <w:t xml:space="preserve">Youth Leadership, Participation and addressing Masculinities </w:t>
            </w:r>
          </w:p>
          <w:p w:rsidR="00000000" w:rsidDel="00000000" w:rsidP="00000000" w:rsidRDefault="00000000" w:rsidRPr="00000000" w14:paraId="00000040">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Promote Youth leadership and Participation in Governance among adolescents and young people in the State through formation of youth collectives </w:t>
            </w:r>
            <w:r w:rsidDel="00000000" w:rsidR="00000000" w:rsidRPr="00000000">
              <w:rPr>
                <w:rtl w:val="0"/>
              </w:rPr>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Provide technical support in rolling out the curriculum on Positive Masculinity for all grades including 9th to 12th for school students.</w:t>
            </w:r>
            <w:r w:rsidDel="00000000" w:rsidR="00000000" w:rsidRPr="00000000">
              <w:rPr>
                <w:rtl w:val="0"/>
              </w:rPr>
            </w:r>
          </w:p>
          <w:p w:rsidR="00000000" w:rsidDel="00000000" w:rsidP="00000000" w:rsidRDefault="00000000" w:rsidRPr="00000000" w14:paraId="00000042">
            <w:pPr>
              <w:numPr>
                <w:ilvl w:val="0"/>
                <w:numId w:val="14"/>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Conduct training and capacity building of government teachers to create a cadre of master trainers </w:t>
            </w:r>
            <w:r w:rsidDel="00000000" w:rsidR="00000000" w:rsidRPr="00000000">
              <w:rPr>
                <w:rFonts w:ascii="Times New Roman" w:cs="Times New Roman" w:eastAsia="Times New Roman" w:hAnsi="Times New Roman"/>
                <w:sz w:val="24"/>
                <w:szCs w:val="24"/>
                <w:rtl w:val="0"/>
              </w:rPr>
              <w:t xml:space="preserve">at state</w:t>
            </w:r>
            <w:r w:rsidDel="00000000" w:rsidR="00000000" w:rsidRPr="00000000">
              <w:rPr>
                <w:rFonts w:ascii="Times New Roman" w:cs="Times New Roman" w:eastAsia="Times New Roman" w:hAnsi="Times New Roman"/>
                <w:color w:val="000000"/>
                <w:sz w:val="24"/>
                <w:szCs w:val="24"/>
                <w:rtl w:val="0"/>
              </w:rPr>
              <w:t xml:space="preserve"> and district level on Positive Masculinity training manual.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Indicative Deliverables :</w:t>
            </w:r>
          </w:p>
          <w:p w:rsidR="00000000" w:rsidDel="00000000" w:rsidP="00000000" w:rsidRDefault="00000000" w:rsidRPr="00000000" w14:paraId="00000044">
            <w:pPr>
              <w:numPr>
                <w:ilvl w:val="0"/>
                <w:numId w:val="10"/>
              </w:numPr>
              <w:pBdr>
                <w:top w:space="0" w:sz="0" w:val="nil"/>
                <w:left w:space="0" w:sz="0" w:val="nil"/>
                <w:bottom w:space="0" w:sz="0" w:val="nil"/>
                <w:right w:space="0" w:sz="0" w:val="nil"/>
                <w:between w:space="0" w:sz="0" w:val="nil"/>
              </w:pBdr>
              <w:spacing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youth collectives established to influence youth policies and programmes</w:t>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pacing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on Positive Masculinity developed and rolled out</w:t>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spacing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Cadre of master trainers at state and district level on Positive Masculinity developed</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Indicative results and  Outputs</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Operational guidelines/ new communication materials/ job aids developed and implemented for transaction of Umang programme in School settings </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Teachers, Principals and key stakeholders trained to impart graded and age appropriate Umang School Health and Wellness curriculum </w:t>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adolescents participating in the Umang School Health and Wellness curriculum in the school settings </w:t>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Training Officers/ Teachers and vocational skill trainers trained to offer Life Skills education and number of boys and girls reached with LSE in vocational training programs.</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teachers trained on the positive masculinity curriculum across the schools in Madhya Pradesh</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training modules/job aids/resource material developed, and number of field functionaries trained for further capacity building and offering SRH, GBV &amp; MHPSS services to adolescents.</w:t>
            </w:r>
          </w:p>
          <w:p w:rsidR="00000000" w:rsidDel="00000000" w:rsidP="00000000" w:rsidRDefault="00000000" w:rsidRPr="00000000" w14:paraId="0000004F">
            <w:pPr>
              <w:jc w:val="both"/>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Geographic Coverage</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Umang School Health and Wellness programme implemented in the secondary and higher secondary schools of Madhya Pradesh</w:t>
            </w:r>
            <w:r w:rsidDel="00000000" w:rsidR="00000000" w:rsidRPr="00000000">
              <w:rPr>
                <w:rtl w:val="0"/>
              </w:rPr>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Life skills education implemented in all the ITIs across the State </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Duration </w:t>
            </w:r>
          </w:p>
          <w:p w:rsidR="00000000" w:rsidDel="00000000" w:rsidP="00000000" w:rsidRDefault="00000000" w:rsidRPr="00000000" w14:paraId="0000005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proposal is sought for a period for three years starting January 2023. Year wise budget should be submitted for three years. However, UNFPA will provide financial support on an annual basis depending on the availability of funds and progress of the project.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0"/>
    <w:bookmarkEnd w:id="0"/>
    <w:bookmarkStart w:colFirst="0" w:colLast="0" w:name="bookmark=id.1fob9te" w:id="1"/>
    <w:bookmarkEnd w:id="1"/>
    <w:bookmarkStart w:colFirst="0" w:colLast="0" w:name="bookmark=id.3znysh7" w:id="2"/>
    <w:bookmarkEnd w:id="2"/>
    <w:p w:rsidR="00000000" w:rsidDel="00000000" w:rsidP="00000000" w:rsidRDefault="00000000" w:rsidRPr="00000000" w14:paraId="0000005D">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Title"/>
        <w:tabs>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5F">
      <w:pPr>
        <w:rPr/>
      </w:pPr>
      <w:r w:rsidDel="00000000" w:rsidR="00000000" w:rsidRPr="00000000">
        <w:rPr>
          <w:rtl w:val="0"/>
        </w:rPr>
      </w:r>
    </w:p>
    <w:tbl>
      <w:tblPr>
        <w:tblStyle w:val="Table3"/>
        <w:tblW w:w="971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60">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98">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9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A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8">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B">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A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0">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B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5">
            <w:pPr>
              <w:keepNext w:val="1"/>
              <w:rPr/>
            </w:pPr>
            <w:r w:rsidDel="00000000" w:rsidR="00000000" w:rsidRPr="00000000">
              <w:rPr>
                <w:rtl w:val="0"/>
              </w:rPr>
              <w:t xml:space="preserve">C.4 Geographic coverage </w:t>
            </w:r>
          </w:p>
          <w:p w:rsidR="00000000" w:rsidDel="00000000" w:rsidP="00000000" w:rsidRDefault="00000000" w:rsidRPr="00000000" w14:paraId="000000B6">
            <w:pPr>
              <w:keepNext w:val="1"/>
              <w:rPr/>
            </w:pPr>
            <w:r w:rsidDel="00000000" w:rsidR="00000000" w:rsidRPr="00000000">
              <w:rPr>
                <w:rtl w:val="0"/>
              </w:rPr>
              <w:t xml:space="preserve">(150 words)</w:t>
            </w:r>
          </w:p>
          <w:p w:rsidR="00000000" w:rsidDel="00000000" w:rsidP="00000000" w:rsidRDefault="00000000" w:rsidRPr="00000000" w14:paraId="000000B7">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B9">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BA">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B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BE">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C0">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C3">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 </w:t>
            </w:r>
            <w:hyperlink r:id="rId10">
              <w:r w:rsidDel="00000000" w:rsidR="00000000" w:rsidRPr="00000000">
                <w:rPr>
                  <w:rFonts w:ascii="Times New Roman" w:cs="Times New Roman" w:eastAsia="Times New Roman" w:hAnsi="Times New Roman"/>
                  <w:i w:val="1"/>
                  <w:color w:val="0563c1"/>
                  <w:sz w:val="24"/>
                  <w:szCs w:val="24"/>
                  <w:u w:val="single"/>
                  <w:rtl w:val="0"/>
                </w:rPr>
                <w:t xml:space="preserve">Click here to download the budget template</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C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D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D6">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D8">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DA">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DB">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D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D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DE">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0E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0E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3">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0F9">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p>
          <w:p w:rsidR="00000000" w:rsidDel="00000000" w:rsidP="00000000" w:rsidRDefault="00000000" w:rsidRPr="00000000" w14:paraId="000000FA">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policy</w:t>
            </w:r>
          </w:p>
          <w:p w:rsidR="00000000" w:rsidDel="00000000" w:rsidP="00000000" w:rsidRDefault="00000000" w:rsidRPr="00000000" w14:paraId="000000FB">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p>
          <w:p w:rsidR="00000000" w:rsidDel="00000000" w:rsidP="00000000" w:rsidRDefault="00000000" w:rsidRPr="00000000" w14:paraId="000000FC">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04">
            <w:pPr>
              <w:numPr>
                <w:ilvl w:val="0"/>
                <w:numId w:val="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05">
            <w:pPr>
              <w:numPr>
                <w:ilvl w:val="0"/>
                <w:numId w:val="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0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0E">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p>
          <w:p w:rsidR="00000000" w:rsidDel="00000000" w:rsidP="00000000" w:rsidRDefault="00000000" w:rsidRPr="00000000" w14:paraId="0000010F">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Recruitment procedures</w:t>
            </w:r>
          </w:p>
          <w:p w:rsidR="00000000" w:rsidDel="00000000" w:rsidP="00000000" w:rsidRDefault="00000000" w:rsidRPr="00000000" w14:paraId="00000110">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13">
            <w:pPr>
              <w:widowControl w:val="0"/>
              <w:numPr>
                <w:ilvl w:val="0"/>
                <w:numId w:val="8"/>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1">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4">
            <w:pPr>
              <w:widowControl w:val="0"/>
              <w:numPr>
                <w:ilvl w:val="0"/>
                <w:numId w:val="8"/>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15">
            <w:pPr>
              <w:widowControl w:val="0"/>
              <w:numPr>
                <w:ilvl w:val="0"/>
                <w:numId w:val="8"/>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16">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A">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package</w:t>
            </w:r>
          </w:p>
          <w:p w:rsidR="00000000" w:rsidDel="00000000" w:rsidP="00000000" w:rsidRDefault="00000000" w:rsidRPr="00000000" w14:paraId="0000011B">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Attendance sheets</w:t>
            </w:r>
          </w:p>
          <w:p w:rsidR="00000000" w:rsidDel="00000000" w:rsidP="00000000" w:rsidRDefault="00000000" w:rsidRPr="00000000" w14:paraId="0000011C">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certificates</w:t>
            </w:r>
          </w:p>
          <w:p w:rsidR="00000000" w:rsidDel="00000000" w:rsidP="00000000" w:rsidRDefault="00000000" w:rsidRPr="00000000" w14:paraId="0000011D">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4">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p>
          <w:p w:rsidR="00000000" w:rsidDel="00000000" w:rsidP="00000000" w:rsidRDefault="00000000" w:rsidRPr="00000000" w14:paraId="00000125">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p>
          <w:p w:rsidR="00000000" w:rsidDel="00000000" w:rsidP="00000000" w:rsidRDefault="00000000" w:rsidRPr="00000000" w14:paraId="00000126">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Communication materials</w:t>
            </w:r>
          </w:p>
          <w:p w:rsidR="00000000" w:rsidDel="00000000" w:rsidP="00000000" w:rsidRDefault="00000000" w:rsidRPr="00000000" w14:paraId="00000127">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awareness-raising plan</w:t>
            </w:r>
          </w:p>
          <w:p w:rsidR="00000000" w:rsidDel="00000000" w:rsidP="00000000" w:rsidRDefault="00000000" w:rsidRPr="00000000" w14:paraId="00000128">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p>
          <w:p w:rsidR="00000000" w:rsidDel="00000000" w:rsidP="00000000" w:rsidRDefault="00000000" w:rsidRPr="00000000" w14:paraId="00000129">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Whistle-blower policy</w:t>
            </w:r>
          </w:p>
          <w:p w:rsidR="00000000" w:rsidDel="00000000" w:rsidP="00000000" w:rsidRDefault="00000000" w:rsidRPr="00000000" w14:paraId="0000012A">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2B">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D">
            <w:pPr>
              <w:rPr>
                <w:rFonts w:ascii="Times New Roman" w:cs="Times New Roman" w:eastAsia="Times New Roman" w:hAnsi="Times New Roman"/>
                <w:sz w:val="22"/>
                <w:szCs w:val="22"/>
              </w:rPr>
            </w:pPr>
            <w:bookmarkStart w:colFirst="0" w:colLast="0" w:name="_heading=h.2et92p0" w:id="3"/>
            <w:bookmarkEnd w:id="3"/>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2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31">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p>
          <w:p w:rsidR="00000000" w:rsidDel="00000000" w:rsidP="00000000" w:rsidRDefault="00000000" w:rsidRPr="00000000" w14:paraId="00000132">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p>
          <w:p w:rsidR="00000000" w:rsidDel="00000000" w:rsidP="00000000" w:rsidRDefault="00000000" w:rsidRPr="00000000" w14:paraId="00000133">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p>
          <w:p w:rsidR="00000000" w:rsidDel="00000000" w:rsidP="00000000" w:rsidRDefault="00000000" w:rsidRPr="00000000" w14:paraId="00000134">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p>
          <w:p w:rsidR="00000000" w:rsidDel="00000000" w:rsidP="00000000" w:rsidRDefault="00000000" w:rsidRPr="00000000" w14:paraId="00000135">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p>
          <w:p w:rsidR="00000000" w:rsidDel="00000000" w:rsidP="00000000" w:rsidRDefault="00000000" w:rsidRPr="00000000" w14:paraId="00000136">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37">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3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3E">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3F">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40">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41">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42">
            <w:pPr>
              <w:numPr>
                <w:ilvl w:val="0"/>
                <w:numId w:val="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3">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4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A">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4B">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4C">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D">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4E">
      <w:pPr>
        <w:rPr>
          <w:rFonts w:ascii="Times New Roman" w:cs="Times New Roman" w:eastAsia="Times New Roman" w:hAnsi="Times New Roman"/>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Arial 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10"/>
      </w:numPr>
      <w:tabs>
        <w:tab w:val="left" w:pos="360"/>
        <w:tab w:val="left" w:pos="5760"/>
      </w:tabs>
      <w:spacing w:after="120" w:before="60" w:line="300" w:lineRule="atLeast"/>
    </w:pPr>
    <w:rPr>
      <w:rFonts w:cs="Times New Roman" w:eastAsia="PMingLiU"/>
      <w:b w:val="1"/>
      <w:bCs w:val="1"/>
      <w:szCs w:val="22"/>
      <w:lang w:val="en-GB"/>
    </w:r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table" w:styleId="afff9" w:customStyle="1">
    <w:basedOn w:val="TableNormal"/>
    <w:tblPr>
      <w:tblStyleRowBandSize w:val="1"/>
      <w:tblStyleColBandSize w:val="1"/>
      <w:tblCellMar>
        <w:left w:w="115.0" w:type="dxa"/>
        <w:right w:w="115.0" w:type="dxa"/>
      </w:tblCellMar>
    </w:tblPr>
  </w:style>
  <w:style w:type="table" w:styleId="afffa" w:customStyle="1">
    <w:basedOn w:val="TableNormal"/>
    <w:tblPr>
      <w:tblStyleRowBandSize w:val="1"/>
      <w:tblStyleColBandSize w:val="1"/>
      <w:tblCellMar>
        <w:left w:w="115.0" w:type="dxa"/>
        <w:right w:w="115.0" w:type="dxa"/>
      </w:tblCellMar>
    </w:tblPr>
  </w:style>
  <w:style w:type="table" w:styleId="afffb" w:customStyle="1">
    <w:basedOn w:val="TableNormal"/>
    <w:tblPr>
      <w:tblStyleRowBandSize w:val="1"/>
      <w:tblStyleColBandSize w:val="1"/>
      <w:tblCellMar>
        <w:left w:w="115.0" w:type="dxa"/>
        <w:right w:w="115.0" w:type="dxa"/>
      </w:tblCellMar>
    </w:tbl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tblPr>
      <w:tblStyleRowBandSize w:val="1"/>
      <w:tblStyleColBandSize w:val="1"/>
      <w:tblCellMar>
        <w:left w:w="115.0" w:type="dxa"/>
        <w:right w:w="115.0" w:type="dxa"/>
      </w:tblCellMar>
    </w:tblPr>
  </w:style>
  <w:style w:type="table" w:styleId="afffe" w:customStyle="1">
    <w:basedOn w:val="TableNormal"/>
    <w:tblPr>
      <w:tblStyleRowBandSize w:val="1"/>
      <w:tblStyleColBandSize w:val="1"/>
      <w:tblCellMar>
        <w:left w:w="115.0" w:type="dxa"/>
        <w:right w:w="115.0" w:type="dxa"/>
      </w:tblCellMar>
    </w:tblPr>
  </w:style>
  <w:style w:type="table" w:styleId="affff"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ndocs.org/ST/SGB/2003/13" TargetMode="External"/><Relationship Id="rId10" Type="http://schemas.openxmlformats.org/officeDocument/2006/relationships/hyperlink" Target="https://docs.google.com/spreadsheets/d/1HF8Hl25ITdHclLiELN0CpXOW_Tl_lGnZc48RtvFJA7g/edit?usp=sharin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Qygfs0NrL5Calop5ad5O3suBA==">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