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Strengthening the Civil Society and State Systems for Addressing Gender Based Violence and Harmful Practice like Gender-biased Sex-Selection and Child Marriage in Bihar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Background and Rationale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continuing to retain focus in the states of Bihar, Madhya Pradesh, Odisha and Rajasthan, the 10th country programme will scale up efforts and drive accelerated progress towards the three transformative results. In Bihar, UNFPA provides technical assistance to the Women and Child Development Corporation, Department of Panchayati Raj and Patna Municipal corporation to effectively implement interventions to address the gender-based violence and harmful practices against women, reduce child marriage and strengthen the institutional mechanisms to promote gender inclusive development. We work with governments, civil society organizations, elected representatives, faith-based organization, and communities in achieving key state mandates of addressing child marriage and gender-based violence and strengthening institutional capacities.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UNFPA is looking to partner with experienced and credible organizations to implement the ambitious agenda envisaged in the 10th country programme. Specifically, this invitation for proposal is to support the Government to improve the institutional mechanisms and community outreach to address the gender-based violence and harmful practices for achieving the 2030 Agenda for Sustainable Development Goals.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Objectives: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 robust policy environment favourable to women through review of existing policies and their implementation and by addressing any gaps therein through collaboration of civil society and government (e.g. Bihar State Women’s Empowerment Policy)</w:t>
            </w:r>
          </w:p>
          <w:p w:rsidR="00000000" w:rsidDel="00000000" w:rsidP="00000000" w:rsidRDefault="00000000" w:rsidRPr="00000000" w14:paraId="0000003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technical support to the Women and Child Development Corporation, Panchayati Raj Department, State Institute of Rural Development, State Health Society and other relevant government departments and agencies to strengthen response mechanisms for GBV and to promote effective implementation of laws on GBV </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build capacities of and strengthen the networks of elected representatives/ Community Based Organizations (CBOs)/ Civil Society Organizations (CSOs)/ Faith Based Organizations (FBOs)/ women, transgender and youth collectives to take social and advocacy actions for challenging and changing patriarchal gender norms</w:t>
            </w:r>
          </w:p>
          <w:p w:rsidR="00000000" w:rsidDel="00000000" w:rsidP="00000000" w:rsidRDefault="00000000" w:rsidRPr="00000000" w14:paraId="0000003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 think tank and resource pool of technical experts on women related laws and gender issues in Bihar by bringing together legal, academic, research, health sector and other premier institutions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Scope of work:</w:t>
            </w:r>
          </w:p>
          <w:p w:rsidR="00000000" w:rsidDel="00000000" w:rsidP="00000000" w:rsidRDefault="00000000" w:rsidRPr="00000000" w14:paraId="0000003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scope of work under this project falls under three broad categories :</w:t>
            </w:r>
          </w:p>
          <w:p w:rsidR="00000000" w:rsidDel="00000000" w:rsidP="00000000" w:rsidRDefault="00000000" w:rsidRPr="00000000" w14:paraId="00000039">
            <w:pPr>
              <w:rPr>
                <w:rFonts w:ascii="Times New Roman" w:cs="Times New Roman" w:eastAsia="Times New Roman" w:hAnsi="Times New Roman"/>
                <w:sz w:val="24"/>
                <w:szCs w:val="24"/>
              </w:rPr>
            </w:pPr>
            <w:bookmarkStart w:colFirst="0" w:colLast="0" w:name="_heading=h.o9zbrjnxztkb" w:id="1"/>
            <w:bookmarkEnd w:id="1"/>
            <w:r w:rsidDel="00000000" w:rsidR="00000000" w:rsidRPr="00000000">
              <w:rPr>
                <w:rtl w:val="0"/>
              </w:rPr>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sz w:val="24"/>
                <w:szCs w:val="24"/>
              </w:rPr>
            </w:pPr>
            <w:bookmarkStart w:colFirst="0" w:colLast="0" w:name="_heading=h.k1inavz7dsbl" w:id="2"/>
            <w:bookmarkEnd w:id="2"/>
            <w:r w:rsidDel="00000000" w:rsidR="00000000" w:rsidRPr="00000000">
              <w:rPr>
                <w:rFonts w:ascii="Times New Roman" w:cs="Times New Roman" w:eastAsia="Times New Roman" w:hAnsi="Times New Roman"/>
                <w:sz w:val="24"/>
                <w:szCs w:val="24"/>
                <w:rtl w:val="0"/>
              </w:rPr>
              <w:t xml:space="preserve">Technical support to state systems to </w:t>
            </w:r>
          </w:p>
          <w:p w:rsidR="00000000" w:rsidDel="00000000" w:rsidP="00000000" w:rsidRDefault="00000000" w:rsidRPr="00000000" w14:paraId="0000003B">
            <w:pPr>
              <w:numPr>
                <w:ilvl w:val="1"/>
                <w:numId w:val="2"/>
              </w:numPr>
              <w:ind w:left="1440" w:hanging="360"/>
              <w:rPr>
                <w:rFonts w:ascii="Times New Roman" w:cs="Times New Roman" w:eastAsia="Times New Roman" w:hAnsi="Times New Roman"/>
                <w:sz w:val="24"/>
                <w:szCs w:val="24"/>
              </w:rPr>
            </w:pPr>
            <w:bookmarkStart w:colFirst="0" w:colLast="0" w:name="_heading=h.82eeohd9jkpq" w:id="3"/>
            <w:bookmarkEnd w:id="3"/>
            <w:r w:rsidDel="00000000" w:rsidR="00000000" w:rsidRPr="00000000">
              <w:rPr>
                <w:rFonts w:ascii="Times New Roman" w:cs="Times New Roman" w:eastAsia="Times New Roman" w:hAnsi="Times New Roman"/>
                <w:sz w:val="24"/>
                <w:szCs w:val="24"/>
                <w:rtl w:val="0"/>
              </w:rPr>
              <w:t xml:space="preserve">Strengthen response mechanisms for GBV (e.g. One Stop Centres)</w:t>
            </w:r>
          </w:p>
          <w:p w:rsidR="00000000" w:rsidDel="00000000" w:rsidP="00000000" w:rsidRDefault="00000000" w:rsidRPr="00000000" w14:paraId="0000003C">
            <w:pPr>
              <w:numPr>
                <w:ilvl w:val="1"/>
                <w:numId w:val="2"/>
              </w:numPr>
              <w:ind w:left="1440" w:hanging="360"/>
              <w:rPr>
                <w:rFonts w:ascii="Times New Roman" w:cs="Times New Roman" w:eastAsia="Times New Roman" w:hAnsi="Times New Roman"/>
                <w:sz w:val="24"/>
                <w:szCs w:val="24"/>
              </w:rPr>
            </w:pPr>
            <w:bookmarkStart w:colFirst="0" w:colLast="0" w:name="_heading=h.p08t0ualvjpg" w:id="4"/>
            <w:bookmarkEnd w:id="4"/>
            <w:r w:rsidDel="00000000" w:rsidR="00000000" w:rsidRPr="00000000">
              <w:rPr>
                <w:rFonts w:ascii="Times New Roman" w:cs="Times New Roman" w:eastAsia="Times New Roman" w:hAnsi="Times New Roman"/>
                <w:sz w:val="24"/>
                <w:szCs w:val="24"/>
                <w:rtl w:val="0"/>
              </w:rPr>
              <w:t xml:space="preserve">Promote effective implementation of laws on GBV (e.g. POSH Act, PWDVA) and harmful practices such as Child Marriage (PCM) and gender biased sex selection (PCPNDT) by sensitizing and building capacities of appropriate authorities, enforcement bodies and service providers in the state.</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4"/>
                <w:szCs w:val="24"/>
              </w:rPr>
            </w:pPr>
            <w:bookmarkStart w:colFirst="0" w:colLast="0" w:name="_heading=h.ukx39fb3ed1p" w:id="5"/>
            <w:bookmarkEnd w:id="5"/>
            <w:r w:rsidDel="00000000" w:rsidR="00000000" w:rsidRPr="00000000">
              <w:rPr>
                <w:rFonts w:ascii="Times New Roman" w:cs="Times New Roman" w:eastAsia="Times New Roman" w:hAnsi="Times New Roman"/>
                <w:sz w:val="24"/>
                <w:szCs w:val="24"/>
                <w:rtl w:val="0"/>
              </w:rPr>
              <w:t xml:space="preserve">Engage with and build capacities of elected representatives/ CBOs/ CSOs/ FBOs/ women, transgender and youth collectives for challenging and changing patriarchal gender norms. </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 with established premier institutions of Bihar such as A. N. Sinha Institute of Social Studies (ANSISS), Chanakya National Law University (CNLU), Indira Gandhi Institute of Medical Sciences (IGIMS), Bihar State Legal Services Authority (BSLSA), Judicial Academy, etc. to bring together their diverse expertise to create a think tank and resource pool of multisectoral technical experts on women related laws and gender issues in Bihar. </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Support to State Government (WCDC, Dept of Panchayati Raj, SIRD, State Health Society Bihar)</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Women and Child Development Corporation :</w:t>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resource materials and training modules on OSCs, POSH and others as required under the technical assistance to WCDC.</w:t>
            </w:r>
          </w:p>
          <w:p w:rsidR="00000000" w:rsidDel="00000000" w:rsidP="00000000" w:rsidRDefault="00000000" w:rsidRPr="00000000" w14:paraId="00000049">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training and capacity-building support to WCDC.</w:t>
            </w:r>
          </w:p>
          <w:p w:rsidR="00000000" w:rsidDel="00000000" w:rsidP="00000000" w:rsidRDefault="00000000" w:rsidRPr="00000000" w14:paraId="0000004A">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on the recommendations on an assessment of OSCs and POSH committees conducted by UNFPA in 2022 and develop an action plan in consultation with WCDC</w:t>
            </w:r>
          </w:p>
          <w:p w:rsidR="00000000" w:rsidDel="00000000" w:rsidP="00000000" w:rsidRDefault="00000000" w:rsidRPr="00000000" w14:paraId="0000004B">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with WCDC and health department to strengthen the institutional mechanism for health sector response to GBV</w:t>
            </w:r>
          </w:p>
          <w:p w:rsidR="00000000" w:rsidDel="00000000" w:rsidP="00000000" w:rsidRDefault="00000000" w:rsidRPr="00000000" w14:paraId="0000004C">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and revise Bihar women empowerment policy </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Panchayati Raj Institutions :</w:t>
            </w:r>
          </w:p>
          <w:p w:rsidR="00000000" w:rsidDel="00000000" w:rsidP="00000000" w:rsidRDefault="00000000" w:rsidRPr="00000000" w14:paraId="0000004F">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technical support and build capacities of Panchayati Raj Department and State Institute of Rural Development to sensitize and capacitate elected representatives of Panchayati Raj Institutions across the state </w:t>
            </w:r>
          </w:p>
          <w:p w:rsidR="00000000" w:rsidDel="00000000" w:rsidP="00000000" w:rsidRDefault="00000000" w:rsidRPr="00000000" w14:paraId="00000050">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Modules/guidelines/adapted for girl/women-friendly panchayat</w:t>
            </w:r>
          </w:p>
          <w:p w:rsidR="00000000" w:rsidDel="00000000" w:rsidP="00000000" w:rsidRDefault="00000000" w:rsidRPr="00000000" w14:paraId="00000051">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establish model Women Friendly Panchayats and address gender-based vulnerabilities of migration in Sheikhpura district</w:t>
            </w:r>
          </w:p>
          <w:p w:rsidR="00000000" w:rsidDel="00000000" w:rsidP="00000000" w:rsidRDefault="00000000" w:rsidRPr="00000000" w14:paraId="00000052">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of Elected Representatives of Panchayats in priority districts:</w:t>
            </w:r>
          </w:p>
          <w:p w:rsidR="00000000" w:rsidDel="00000000" w:rsidP="00000000" w:rsidRDefault="00000000" w:rsidRPr="00000000" w14:paraId="00000053">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knowledge products on program issues digital and manual.</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State Health Society :</w:t>
            </w:r>
          </w:p>
          <w:p w:rsidR="00000000" w:rsidDel="00000000" w:rsidP="00000000" w:rsidRDefault="00000000" w:rsidRPr="00000000" w14:paraId="00000056">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technical support to the State Health Society and build their technical competencies and capacities- (a) to strengthen health sector response for GBV (e.g. One Stop Centres); and (b) to promote effective implementation of the PCPNDT Act- by sensitizing and building capacities of appropriate authorities, enforcement bodies and service providers</w:t>
            </w:r>
          </w:p>
          <w:p w:rsidR="00000000" w:rsidDel="00000000" w:rsidP="00000000" w:rsidRDefault="00000000" w:rsidRPr="00000000" w14:paraId="00000057">
            <w:pPr>
              <w:numPr>
                <w:ilvl w:val="0"/>
                <w:numId w:val="14"/>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action plans for districts with low sex ratios and to ensure effective functioning of statutory bodies as per the PCPNDT Act-</w:t>
            </w:r>
          </w:p>
          <w:p w:rsidR="00000000" w:rsidDel="00000000" w:rsidP="00000000" w:rsidRDefault="00000000" w:rsidRPr="00000000" w14:paraId="00000058">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Supervisory Board </w:t>
            </w:r>
          </w:p>
          <w:p w:rsidR="00000000" w:rsidDel="00000000" w:rsidP="00000000" w:rsidRDefault="00000000" w:rsidRPr="00000000" w14:paraId="00000059">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Three-member State Appropriate Authority </w:t>
            </w:r>
          </w:p>
          <w:p w:rsidR="00000000" w:rsidDel="00000000" w:rsidP="00000000" w:rsidRDefault="00000000" w:rsidRPr="00000000" w14:paraId="0000005A">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Advisory Committee</w:t>
            </w:r>
          </w:p>
          <w:p w:rsidR="00000000" w:rsidDel="00000000" w:rsidP="00000000" w:rsidRDefault="00000000" w:rsidRPr="00000000" w14:paraId="0000005B">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Advisory Committees </w:t>
            </w:r>
          </w:p>
          <w:p w:rsidR="00000000" w:rsidDel="00000000" w:rsidP="00000000" w:rsidRDefault="00000000" w:rsidRPr="00000000" w14:paraId="0000005C">
            <w:pPr>
              <w:numPr>
                <w:ilvl w:val="0"/>
                <w:numId w:val="1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in maintenance of database, monitoring and mentoring medical colleges and medical professionals- radiologists and Gynaecologists- on making clinics PCPNDT compliant.</w:t>
            </w:r>
          </w:p>
          <w:p w:rsidR="00000000" w:rsidDel="00000000" w:rsidP="00000000" w:rsidRDefault="00000000" w:rsidRPr="00000000" w14:paraId="0000005D">
            <w:pPr>
              <w:numPr>
                <w:ilvl w:val="0"/>
                <w:numId w:val="1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with academic institutes and conduct relevant studies on key social issues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 networks of CSOs, FBOs, and collectives to address gender-based violence, child marriage, gender-biased sex selection, and gender discrimination and promote gender equality and positive masculinity:</w:t>
            </w:r>
          </w:p>
          <w:p w:rsidR="00000000" w:rsidDel="00000000" w:rsidP="00000000" w:rsidRDefault="00000000" w:rsidRPr="00000000" w14:paraId="0000006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and strengthen networks </w:t>
            </w:r>
          </w:p>
          <w:p w:rsidR="00000000" w:rsidDel="00000000" w:rsidP="00000000" w:rsidRDefault="00000000" w:rsidRPr="00000000" w14:paraId="0000006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capacity building of CSOs, FBOs, women, and youth collectives. </w:t>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resource materials (training modules, SBCC) and design and implement communication campaigns.</w:t>
            </w:r>
          </w:p>
          <w:p w:rsidR="00000000" w:rsidDel="00000000" w:rsidP="00000000" w:rsidRDefault="00000000" w:rsidRPr="00000000" w14:paraId="0000006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 social actions by networks to address negative social norms and harmful practices.</w:t>
            </w:r>
          </w:p>
          <w:p w:rsidR="00000000" w:rsidDel="00000000" w:rsidP="00000000" w:rsidRDefault="00000000" w:rsidRPr="00000000" w14:paraId="0000006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networks in policy dialogues and formulation.</w:t>
            </w:r>
          </w:p>
          <w:p w:rsidR="00000000" w:rsidDel="00000000" w:rsidP="00000000" w:rsidRDefault="00000000" w:rsidRPr="00000000" w14:paraId="0000006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in documenting the impact of the program, information sharing, and undertaking advocacy to promote gender equality and positive masculinity.</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bookmarkStart w:colFirst="0" w:colLast="0" w:name="_heading=h.kvwxyk650r2x" w:id="6"/>
            <w:bookmarkEnd w:id="6"/>
            <w:r w:rsidDel="00000000" w:rsidR="00000000" w:rsidRPr="00000000">
              <w:rPr>
                <w:rFonts w:ascii="Times New Roman" w:cs="Times New Roman" w:eastAsia="Times New Roman" w:hAnsi="Times New Roman"/>
                <w:b w:val="1"/>
                <w:sz w:val="24"/>
                <w:szCs w:val="24"/>
                <w:rtl w:val="0"/>
              </w:rPr>
              <w:t xml:space="preserve">Partnerships with established premier institutions of Bihar to bring together their diverse expertise to create a think tank and resource pool of multisectoral technical experts on women related laws and gender issues. </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Indicative Results and Outputs:</w:t>
            </w:r>
          </w:p>
          <w:p w:rsidR="00000000" w:rsidDel="00000000" w:rsidP="00000000" w:rsidRDefault="00000000" w:rsidRPr="00000000" w14:paraId="0000006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B">
            <w:pPr>
              <w:numPr>
                <w:ilvl w:val="0"/>
                <w:numId w:val="15"/>
              </w:numPr>
              <w:ind w:left="7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Internal Committees (ICs) and Local Committees (LCs) functioning effectively as per the POSH Act</w:t>
            </w:r>
          </w:p>
          <w:p w:rsidR="00000000" w:rsidDel="00000000" w:rsidP="00000000" w:rsidRDefault="00000000" w:rsidRPr="00000000" w14:paraId="0000006C">
            <w:pPr>
              <w:numPr>
                <w:ilvl w:val="0"/>
                <w:numId w:val="15"/>
              </w:numPr>
              <w:ind w:left="7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OSCs with infrastructure and staffing as per the GoI guidelines</w:t>
            </w:r>
          </w:p>
          <w:p w:rsidR="00000000" w:rsidDel="00000000" w:rsidP="00000000" w:rsidRDefault="00000000" w:rsidRPr="00000000" w14:paraId="0000006D">
            <w:pPr>
              <w:numPr>
                <w:ilvl w:val="0"/>
                <w:numId w:val="15"/>
              </w:numPr>
              <w:ind w:left="7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the OSCs made fully functional</w:t>
            </w:r>
          </w:p>
          <w:p w:rsidR="00000000" w:rsidDel="00000000" w:rsidP="00000000" w:rsidRDefault="00000000" w:rsidRPr="00000000" w14:paraId="0000006E">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service providers capacitated to provide survivor-centered GBV and MHPSS services.</w:t>
            </w:r>
          </w:p>
          <w:p w:rsidR="00000000" w:rsidDel="00000000" w:rsidP="00000000" w:rsidRDefault="00000000" w:rsidRPr="00000000" w14:paraId="0000006F">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stakeholders capacitated to strengthen the implementation of laws and policies related to GBV, GBSS and child marriage</w:t>
            </w:r>
          </w:p>
          <w:p w:rsidR="00000000" w:rsidDel="00000000" w:rsidP="00000000" w:rsidRDefault="00000000" w:rsidRPr="00000000" w14:paraId="00000070">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statutory bodies functioning effectively as per the PCPNDT Act</w:t>
            </w:r>
          </w:p>
          <w:p w:rsidR="00000000" w:rsidDel="00000000" w:rsidP="00000000" w:rsidRDefault="00000000" w:rsidRPr="00000000" w14:paraId="00000071">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 developed for monitoring the implementation of PCPNDT Act</w:t>
            </w:r>
          </w:p>
          <w:p w:rsidR="00000000" w:rsidDel="00000000" w:rsidP="00000000" w:rsidRDefault="00000000" w:rsidRPr="00000000" w14:paraId="00000072">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Elected Representatives from Gram Panchayats trained in priority districts.</w:t>
            </w:r>
          </w:p>
          <w:p w:rsidR="00000000" w:rsidDel="00000000" w:rsidP="00000000" w:rsidRDefault="00000000" w:rsidRPr="00000000" w14:paraId="00000073">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model girl-friendly panchayat developed in priority districts</w:t>
            </w:r>
          </w:p>
          <w:p w:rsidR="00000000" w:rsidDel="00000000" w:rsidP="00000000" w:rsidRDefault="00000000" w:rsidRPr="00000000" w14:paraId="00000074">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CSO, FBOs which initiate action against harmful practices and negative social norms.</w:t>
            </w:r>
          </w:p>
          <w:p w:rsidR="00000000" w:rsidDel="00000000" w:rsidP="00000000" w:rsidRDefault="00000000" w:rsidRPr="00000000" w14:paraId="00000075">
            <w:pPr>
              <w:numPr>
                <w:ilvl w:val="0"/>
                <w:numId w:val="17"/>
              </w:numPr>
              <w:ind w:left="720" w:hanging="360"/>
              <w:rPr>
                <w:rFonts w:ascii="Times New Roman" w:cs="Times New Roman" w:eastAsia="Times New Roman" w:hAnsi="Times New Roman"/>
                <w:sz w:val="24"/>
                <w:szCs w:val="24"/>
              </w:rPr>
            </w:pPr>
            <w:bookmarkStart w:colFirst="0" w:colLast="0" w:name="_heading=h.30j0zll" w:id="7"/>
            <w:bookmarkEnd w:id="7"/>
            <w:r w:rsidDel="00000000" w:rsidR="00000000" w:rsidRPr="00000000">
              <w:rPr>
                <w:rFonts w:ascii="Times New Roman" w:cs="Times New Roman" w:eastAsia="Times New Roman" w:hAnsi="Times New Roman"/>
                <w:sz w:val="24"/>
                <w:szCs w:val="24"/>
                <w:rtl w:val="0"/>
              </w:rPr>
              <w:t xml:space="preserve">No. of experts/ organizations mobilized working on women related laws and gender issues in Bihar mobilized for advocacy. </w:t>
            </w:r>
          </w:p>
          <w:p w:rsidR="00000000" w:rsidDel="00000000" w:rsidP="00000000" w:rsidRDefault="00000000" w:rsidRPr="00000000" w14:paraId="00000076">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policy dialogues, seminars, workshops, training organized with networks and other stakeholders.</w:t>
            </w:r>
          </w:p>
          <w:p w:rsidR="00000000" w:rsidDel="00000000" w:rsidP="00000000" w:rsidRDefault="00000000" w:rsidRPr="00000000" w14:paraId="00000077">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studies conducted and disseminated.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Geographic Coverage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cover the entire state with special focus on 3 UNFPA priority districts (Katihar, Sheikhpura and Khagaria) in Bihar.</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bookmarkStart w:colFirst="0" w:colLast="0" w:name="_heading=h.6dlm5u6xl0vr" w:id="8"/>
            <w:bookmarkEnd w:id="8"/>
            <w:r w:rsidDel="00000000" w:rsidR="00000000" w:rsidRPr="00000000">
              <w:rPr>
                <w:rFonts w:ascii="Times New Roman" w:cs="Times New Roman" w:eastAsia="Times New Roman" w:hAnsi="Times New Roman"/>
                <w:b w:val="1"/>
                <w:sz w:val="24"/>
                <w:szCs w:val="24"/>
                <w:u w:val="single"/>
                <w:rtl w:val="0"/>
              </w:rPr>
              <w:t xml:space="preserve">Duration: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 proposal is sought for a period of three years starting January 2023. Year wise budget to be submitted for three years. UNFPA will provide financial support on an annual basis depending on the availability of funds and progress of the project.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9"/>
    <w:bookmarkEnd w:id="9"/>
    <w:bookmarkStart w:colFirst="0" w:colLast="0" w:name="bookmark=id.1fob9te" w:id="10"/>
    <w:bookmarkEnd w:id="10"/>
    <w:bookmarkStart w:colFirst="0" w:colLast="0" w:name="bookmark=id.3znysh7" w:id="11"/>
    <w:bookmarkEnd w:id="11"/>
    <w:p w:rsidR="00000000" w:rsidDel="00000000" w:rsidP="00000000" w:rsidRDefault="00000000" w:rsidRPr="00000000" w14:paraId="00000082">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84">
      <w:pPr>
        <w:rPr/>
      </w:pPr>
      <w:r w:rsidDel="00000000" w:rsidR="00000000" w:rsidRPr="00000000">
        <w:rPr>
          <w:rtl w:val="0"/>
        </w:rPr>
      </w:r>
    </w:p>
    <w:tbl>
      <w:tblPr>
        <w:tblStyle w:val="Table3"/>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85">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D">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D">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0">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D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5">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D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A">
            <w:pPr>
              <w:keepNext w:val="1"/>
              <w:rPr/>
            </w:pPr>
            <w:r w:rsidDel="00000000" w:rsidR="00000000" w:rsidRPr="00000000">
              <w:rPr>
                <w:rtl w:val="0"/>
              </w:rPr>
              <w:t xml:space="preserve">C.4 Geographic coverage </w:t>
            </w:r>
          </w:p>
          <w:p w:rsidR="00000000" w:rsidDel="00000000" w:rsidP="00000000" w:rsidRDefault="00000000" w:rsidRPr="00000000" w14:paraId="000000DB">
            <w:pPr>
              <w:keepNext w:val="1"/>
              <w:rPr/>
            </w:pPr>
            <w:r w:rsidDel="00000000" w:rsidR="00000000" w:rsidRPr="00000000">
              <w:rPr>
                <w:rtl w:val="0"/>
              </w:rPr>
              <w:t xml:space="preserve">(150 words)</w:t>
            </w:r>
          </w:p>
          <w:p w:rsidR="00000000" w:rsidDel="00000000" w:rsidP="00000000" w:rsidRDefault="00000000" w:rsidRPr="00000000" w14:paraId="000000DC">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E">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DF">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E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E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E3">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E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E8">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0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0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1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E">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11F">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121">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29">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2A">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3">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34">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35">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38">
            <w:pPr>
              <w:widowControl w:val="0"/>
              <w:numPr>
                <w:ilvl w:val="0"/>
                <w:numId w:val="8"/>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39">
            <w:pPr>
              <w:widowControl w:val="0"/>
              <w:numPr>
                <w:ilvl w:val="0"/>
                <w:numId w:val="8"/>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3A">
            <w:pPr>
              <w:widowControl w:val="0"/>
              <w:numPr>
                <w:ilvl w:val="0"/>
                <w:numId w:val="8"/>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3B">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F">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40">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41">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42">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49">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4A">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4B">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4C">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4D">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4E">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4F">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2">
            <w:pPr>
              <w:rPr>
                <w:rFonts w:ascii="Times New Roman" w:cs="Times New Roman" w:eastAsia="Times New Roman" w:hAnsi="Times New Roman"/>
                <w:sz w:val="22"/>
                <w:szCs w:val="22"/>
              </w:rPr>
            </w:pPr>
            <w:bookmarkStart w:colFirst="0" w:colLast="0" w:name="_heading=h.2et92p0" w:id="12"/>
            <w:bookmarkEnd w:id="12"/>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5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6">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57">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58">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59">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5A">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5B">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63">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64">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65">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66">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67">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6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6F">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70">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71">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72">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73">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lowerLetter"/>
      <w:lvlText w:val="%1."/>
      <w:lvlJc w:val="left"/>
      <w:pPr>
        <w:ind w:left="720" w:hanging="360"/>
      </w:pPr>
      <w:rPr>
        <w:rFonts w:ascii="Calibri" w:cs="Calibri" w:eastAsia="Calibri" w:hAnsi="Calibri"/>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0">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4">
    <w:lvl w:ilvl="0">
      <w:start w:val="1"/>
      <w:numFmt w:val="lowerLetter"/>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70" w:hanging="360"/>
      </w:pPr>
      <w:rPr>
        <w:rFonts w:ascii="Noto Sans" w:cs="Noto Sans" w:eastAsia="Noto Sans" w:hAnsi="Noto San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w:cs="Noto Sans" w:eastAsia="Noto Sans" w:hAnsi="Noto Sans"/>
      </w:rPr>
    </w:lvl>
    <w:lvl w:ilvl="3">
      <w:start w:val="1"/>
      <w:numFmt w:val="bullet"/>
      <w:lvlText w:val="●"/>
      <w:lvlJc w:val="left"/>
      <w:pPr>
        <w:ind w:left="2930" w:hanging="360"/>
      </w:pPr>
      <w:rPr>
        <w:rFonts w:ascii="Noto Sans" w:cs="Noto Sans" w:eastAsia="Noto Sans" w:hAnsi="Noto San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w:cs="Noto Sans" w:eastAsia="Noto Sans" w:hAnsi="Noto Sans"/>
      </w:rPr>
    </w:lvl>
    <w:lvl w:ilvl="6">
      <w:start w:val="1"/>
      <w:numFmt w:val="bullet"/>
      <w:lvlText w:val="●"/>
      <w:lvlJc w:val="left"/>
      <w:pPr>
        <w:ind w:left="5090" w:hanging="360"/>
      </w:pPr>
      <w:rPr>
        <w:rFonts w:ascii="Noto Sans" w:cs="Noto Sans" w:eastAsia="Noto Sans" w:hAnsi="Noto San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w:cs="Noto Sans" w:eastAsia="Noto Sans" w:hAnsi="Noto Sans"/>
      </w:rPr>
    </w:lvl>
  </w:abstractNum>
  <w:abstractNum w:abstractNumId="16">
    <w:lvl w:ilvl="0">
      <w:start w:val="13"/>
      <w:numFmt w:val="lowerLetter"/>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lZwGzbNCnwaDWUjqdIpMimEA==">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